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F143B" w14:textId="00D3D1B1" w:rsidR="00ED2520" w:rsidRDefault="00000000">
      <w:pPr>
        <w:pStyle w:val="1"/>
        <w:spacing w:before="0" w:after="0" w:line="360" w:lineRule="auto"/>
        <w:jc w:val="center"/>
        <w:rPr>
          <w:rFonts w:ascii="Times New Roman" w:eastAsia="等线" w:hAnsi="Times New Roman"/>
          <w:sz w:val="32"/>
          <w:szCs w:val="32"/>
        </w:rPr>
      </w:pPr>
      <w:bookmarkStart w:id="0" w:name="_Toc522368167"/>
      <w:bookmarkStart w:id="1" w:name="_Toc7842"/>
      <w:r>
        <w:rPr>
          <w:rFonts w:ascii="Times New Roman" w:eastAsia="等线" w:hAnsi="Times New Roman"/>
          <w:sz w:val="32"/>
          <w:szCs w:val="32"/>
        </w:rPr>
        <w:t>非离子表面活性</w:t>
      </w:r>
      <w:proofErr w:type="gramStart"/>
      <w:r>
        <w:rPr>
          <w:rFonts w:ascii="Times New Roman" w:eastAsia="等线" w:hAnsi="Times New Roman"/>
          <w:sz w:val="32"/>
          <w:szCs w:val="32"/>
        </w:rPr>
        <w:t>剂</w:t>
      </w:r>
      <w:r>
        <w:rPr>
          <w:rFonts w:ascii="Times New Roman" w:eastAsia="等线" w:hAnsi="Times New Roman"/>
          <w:sz w:val="32"/>
          <w:szCs w:val="32"/>
        </w:rPr>
        <w:t xml:space="preserve"> </w:t>
      </w:r>
      <w:r>
        <w:rPr>
          <w:rFonts w:ascii="Times New Roman" w:eastAsia="等线" w:hAnsi="Times New Roman"/>
          <w:sz w:val="32"/>
          <w:szCs w:val="32"/>
        </w:rPr>
        <w:t>椰油</w:t>
      </w:r>
      <w:proofErr w:type="gramEnd"/>
      <w:r>
        <w:rPr>
          <w:rFonts w:ascii="Times New Roman" w:eastAsia="等线" w:hAnsi="Times New Roman"/>
          <w:sz w:val="32"/>
          <w:szCs w:val="32"/>
        </w:rPr>
        <w:t>酰胺甲基</w:t>
      </w:r>
      <w:r>
        <w:rPr>
          <w:rFonts w:ascii="Times New Roman" w:eastAsia="等线" w:hAnsi="Times New Roman" w:hint="eastAsia"/>
          <w:sz w:val="32"/>
          <w:szCs w:val="32"/>
        </w:rPr>
        <w:t xml:space="preserve"> </w:t>
      </w:r>
      <w:r>
        <w:rPr>
          <w:rFonts w:ascii="Times New Roman" w:eastAsia="等线" w:hAnsi="Times New Roman"/>
          <w:sz w:val="32"/>
          <w:szCs w:val="32"/>
        </w:rPr>
        <w:t>MEA</w:t>
      </w:r>
      <w:r>
        <w:rPr>
          <w:rFonts w:ascii="Times New Roman" w:eastAsia="等线" w:hAnsi="Times New Roman" w:hint="eastAsia"/>
          <w:sz w:val="32"/>
          <w:szCs w:val="32"/>
        </w:rPr>
        <w:t>（</w:t>
      </w:r>
      <w:r w:rsidR="005C43F2">
        <w:rPr>
          <w:rFonts w:ascii="Times New Roman" w:eastAsia="等线" w:hAnsi="Times New Roman" w:hint="eastAsia"/>
          <w:sz w:val="32"/>
          <w:szCs w:val="32"/>
        </w:rPr>
        <w:t>送审</w:t>
      </w:r>
      <w:r>
        <w:rPr>
          <w:rFonts w:ascii="Times New Roman" w:eastAsia="等线" w:hAnsi="Times New Roman" w:hint="eastAsia"/>
          <w:sz w:val="32"/>
          <w:szCs w:val="32"/>
        </w:rPr>
        <w:t>稿）</w:t>
      </w:r>
    </w:p>
    <w:p w14:paraId="6AA7E4A3" w14:textId="77777777" w:rsidR="00ED2520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编制说明</w:t>
      </w:r>
    </w:p>
    <w:p w14:paraId="45FB2CD0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r>
        <w:rPr>
          <w:rFonts w:ascii="Times New Roman" w:eastAsia="等线" w:hAnsi="Times New Roman"/>
          <w:b/>
          <w:sz w:val="24"/>
          <w:szCs w:val="24"/>
        </w:rPr>
        <w:t>一、工作情况</w:t>
      </w:r>
      <w:bookmarkStart w:id="2" w:name="_Toc522368168"/>
      <w:bookmarkEnd w:id="0"/>
      <w:bookmarkEnd w:id="1"/>
    </w:p>
    <w:p w14:paraId="4FF2FB1B" w14:textId="77777777" w:rsidR="00ED2520" w:rsidRDefault="00000000">
      <w:pPr>
        <w:pStyle w:val="1"/>
        <w:spacing w:before="0" w:after="0" w:line="360" w:lineRule="auto"/>
        <w:rPr>
          <w:rFonts w:ascii="Times New Roman" w:hAnsi="Times New Roman"/>
          <w:szCs w:val="21"/>
        </w:rPr>
      </w:pPr>
      <w:bookmarkStart w:id="3" w:name="_Toc2925"/>
      <w:r>
        <w:rPr>
          <w:rFonts w:ascii="Times New Roman" w:eastAsia="宋体" w:hAnsi="Times New Roman" w:hint="eastAsia"/>
          <w:b/>
          <w:sz w:val="21"/>
          <w:szCs w:val="21"/>
        </w:rPr>
        <w:t>1</w:t>
      </w:r>
      <w:r>
        <w:rPr>
          <w:rFonts w:ascii="Times New Roman" w:eastAsia="宋体" w:hAnsi="Times New Roman" w:hint="eastAsia"/>
          <w:b/>
          <w:sz w:val="21"/>
          <w:szCs w:val="21"/>
        </w:rPr>
        <w:t>、</w:t>
      </w:r>
      <w:r>
        <w:rPr>
          <w:rFonts w:ascii="Times New Roman" w:eastAsia="宋体" w:hAnsi="Times New Roman"/>
          <w:b/>
          <w:sz w:val="21"/>
          <w:szCs w:val="21"/>
        </w:rPr>
        <w:t>任务来源</w:t>
      </w:r>
      <w:bookmarkEnd w:id="2"/>
      <w:bookmarkEnd w:id="3"/>
    </w:p>
    <w:p w14:paraId="379828F4" w14:textId="77777777" w:rsidR="00ED2520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本项目是根据工业和信息化部</w:t>
      </w:r>
      <w:r>
        <w:rPr>
          <w:rFonts w:hint="eastAsia"/>
          <w:szCs w:val="21"/>
        </w:rPr>
        <w:t>发布</w:t>
      </w:r>
      <w:r>
        <w:rPr>
          <w:szCs w:val="21"/>
        </w:rPr>
        <w:t>2025</w:t>
      </w:r>
      <w:r>
        <w:rPr>
          <w:szCs w:val="21"/>
        </w:rPr>
        <w:t>年第五批行业标准制修订和外文版项目计划</w:t>
      </w:r>
      <w:r>
        <w:rPr>
          <w:rFonts w:hint="eastAsia"/>
          <w:szCs w:val="21"/>
        </w:rPr>
        <w:t>制定</w:t>
      </w:r>
      <w:r>
        <w:rPr>
          <w:szCs w:val="21"/>
        </w:rPr>
        <w:t>，计划编号</w:t>
      </w:r>
      <w:r>
        <w:rPr>
          <w:rFonts w:hint="eastAsia"/>
          <w:szCs w:val="21"/>
        </w:rPr>
        <w:t>为</w:t>
      </w:r>
      <w:r>
        <w:rPr>
          <w:szCs w:val="21"/>
        </w:rPr>
        <w:t>202</w:t>
      </w:r>
      <w:r>
        <w:rPr>
          <w:rFonts w:hint="eastAsia"/>
          <w:szCs w:val="21"/>
        </w:rPr>
        <w:t>5</w:t>
      </w:r>
      <w:r>
        <w:rPr>
          <w:szCs w:val="21"/>
        </w:rPr>
        <w:t>-</w:t>
      </w:r>
      <w:r>
        <w:rPr>
          <w:rFonts w:hint="eastAsia"/>
          <w:szCs w:val="21"/>
        </w:rPr>
        <w:t>1521</w:t>
      </w:r>
      <w:r>
        <w:rPr>
          <w:szCs w:val="21"/>
        </w:rPr>
        <w:t>T-QB</w:t>
      </w:r>
      <w:r>
        <w:rPr>
          <w:szCs w:val="21"/>
        </w:rPr>
        <w:t>，项目名称</w:t>
      </w:r>
      <w:r>
        <w:rPr>
          <w:rFonts w:hint="eastAsia"/>
          <w:szCs w:val="21"/>
        </w:rPr>
        <w:t>为《</w:t>
      </w:r>
      <w:r>
        <w:rPr>
          <w:szCs w:val="21"/>
        </w:rPr>
        <w:t>非离子表面活性剂</w:t>
      </w:r>
      <w:r>
        <w:rPr>
          <w:szCs w:val="21"/>
        </w:rPr>
        <w:t xml:space="preserve">  </w:t>
      </w:r>
      <w:r>
        <w:rPr>
          <w:szCs w:val="21"/>
        </w:rPr>
        <w:t>椰油酰胺甲基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MEA</w:t>
      </w:r>
      <w:r>
        <w:rPr>
          <w:rFonts w:hint="eastAsia"/>
          <w:szCs w:val="21"/>
        </w:rPr>
        <w:t>》，制定周期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个月</w:t>
      </w:r>
      <w:r>
        <w:rPr>
          <w:szCs w:val="21"/>
        </w:rPr>
        <w:t>。</w:t>
      </w:r>
    </w:p>
    <w:p w14:paraId="5765CE54" w14:textId="23869C7E" w:rsidR="00ED2520" w:rsidRDefault="005C43F2">
      <w:pPr>
        <w:pStyle w:val="2"/>
        <w:spacing w:before="0" w:after="0" w:line="360" w:lineRule="auto"/>
        <w:rPr>
          <w:rFonts w:ascii="Times New Roman" w:eastAsia="宋体" w:hAnsi="Times New Roman"/>
          <w:sz w:val="21"/>
          <w:szCs w:val="21"/>
        </w:rPr>
      </w:pPr>
      <w:bookmarkStart w:id="4" w:name="_Toc522368170"/>
      <w:bookmarkStart w:id="5" w:name="_Toc12999"/>
      <w:r>
        <w:rPr>
          <w:rFonts w:ascii="Times New Roman" w:eastAsia="宋体" w:hAnsi="Times New Roman" w:hint="eastAsia"/>
          <w:sz w:val="21"/>
          <w:szCs w:val="21"/>
        </w:rPr>
        <w:t>2</w:t>
      </w:r>
      <w:r w:rsidR="00000000">
        <w:rPr>
          <w:rFonts w:ascii="Times New Roman" w:eastAsia="宋体" w:hAnsi="Times New Roman" w:hint="eastAsia"/>
          <w:sz w:val="21"/>
          <w:szCs w:val="21"/>
        </w:rPr>
        <w:t>、</w:t>
      </w:r>
      <w:r w:rsidR="00000000">
        <w:rPr>
          <w:rFonts w:ascii="Times New Roman" w:eastAsia="宋体" w:hAnsi="Times New Roman"/>
          <w:sz w:val="21"/>
          <w:szCs w:val="21"/>
        </w:rPr>
        <w:t>主要工作过程</w:t>
      </w:r>
      <w:bookmarkEnd w:id="4"/>
      <w:bookmarkEnd w:id="5"/>
    </w:p>
    <w:p w14:paraId="77A95650" w14:textId="77777777" w:rsidR="00ED2520" w:rsidRDefault="00000000">
      <w:p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bCs/>
          <w:szCs w:val="21"/>
        </w:rPr>
        <w:t>）起草阶段：</w:t>
      </w:r>
    </w:p>
    <w:p w14:paraId="3661272F" w14:textId="77777777" w:rsidR="00ED2520" w:rsidRDefault="00000000">
      <w:pPr>
        <w:adjustRightInd w:val="0"/>
        <w:snapToGrid w:val="0"/>
        <w:spacing w:line="360" w:lineRule="auto"/>
        <w:ind w:firstLineChars="200" w:firstLine="420"/>
      </w:pPr>
      <w:bookmarkStart w:id="6" w:name="_Toc522368175"/>
      <w:r>
        <w:rPr>
          <w:szCs w:val="21"/>
        </w:rPr>
        <w:t>标准计划获得项目立项后，</w:t>
      </w:r>
      <w:r>
        <w:rPr>
          <w:szCs w:val="21"/>
        </w:rPr>
        <w:t>2026</w:t>
      </w:r>
      <w:r>
        <w:rPr>
          <w:szCs w:val="21"/>
        </w:rPr>
        <w:t>年</w:t>
      </w:r>
      <w:r>
        <w:rPr>
          <w:szCs w:val="21"/>
        </w:rPr>
        <w:t>2</w:t>
      </w:r>
      <w:r>
        <w:rPr>
          <w:szCs w:val="21"/>
        </w:rPr>
        <w:t>月</w:t>
      </w:r>
      <w:r>
        <w:t>全国表面活性剂和洗涤用品标准化技术委员会成立标准起草工作组。工作组对当前椰油酰胺甲基</w:t>
      </w:r>
      <w:r>
        <w:t xml:space="preserve"> MEA</w:t>
      </w:r>
      <w:r>
        <w:t>非离子表面活性剂的现状与发展情况进行全面调研，同时广泛搜集和检索了国内外相关厂家资料，并进行了大量的研究分析、资料查证工作。经标委会相关单位专家研讨后，对标准草案初稿进行了认真的修改，于</w:t>
      </w:r>
      <w:r>
        <w:t>2026</w:t>
      </w:r>
      <w:r>
        <w:t>年</w:t>
      </w:r>
      <w:r>
        <w:rPr>
          <w:rFonts w:hint="eastAsia"/>
        </w:rPr>
        <w:t>3</w:t>
      </w:r>
      <w:r>
        <w:t>月形成标准征求意见稿，报标委会秘书处。</w:t>
      </w:r>
    </w:p>
    <w:p w14:paraId="4829141C" w14:textId="77777777" w:rsidR="00ED2520" w:rsidRDefault="00000000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（</w:t>
      </w:r>
      <w:r>
        <w:rPr>
          <w:bCs/>
          <w:szCs w:val="21"/>
        </w:rPr>
        <w:t>2</w:t>
      </w:r>
      <w:r>
        <w:rPr>
          <w:bCs/>
          <w:szCs w:val="21"/>
        </w:rPr>
        <w:t>）征求意见</w:t>
      </w:r>
      <w:r>
        <w:rPr>
          <w:rFonts w:hint="eastAsia"/>
          <w:bCs/>
          <w:szCs w:val="21"/>
        </w:rPr>
        <w:t>稿阶段</w:t>
      </w:r>
      <w:r>
        <w:rPr>
          <w:bCs/>
          <w:szCs w:val="21"/>
        </w:rPr>
        <w:t>：</w:t>
      </w:r>
    </w:p>
    <w:p w14:paraId="6AF54E6F" w14:textId="412C8715" w:rsidR="00ED2520" w:rsidRDefault="005C43F2">
      <w:pPr>
        <w:pStyle w:val="1"/>
        <w:spacing w:before="0" w:after="0" w:line="360" w:lineRule="auto"/>
        <w:ind w:firstLineChars="200" w:firstLine="420"/>
        <w:rPr>
          <w:rFonts w:ascii="Times New Roman" w:eastAsia="宋体" w:hAnsi="Times New Roman"/>
          <w:bCs/>
          <w:sz w:val="21"/>
          <w:szCs w:val="21"/>
        </w:rPr>
      </w:pPr>
      <w:r w:rsidRPr="005C43F2">
        <w:rPr>
          <w:rFonts w:ascii="Times New Roman" w:eastAsia="宋体" w:hAnsi="Times New Roman"/>
          <w:bCs/>
          <w:sz w:val="21"/>
          <w:szCs w:val="21"/>
        </w:rPr>
        <w:t>2026</w:t>
      </w:r>
      <w:r w:rsidRPr="005C43F2">
        <w:rPr>
          <w:rFonts w:ascii="Times New Roman" w:eastAsia="宋体" w:hAnsi="Times New Roman"/>
          <w:bCs/>
          <w:sz w:val="21"/>
          <w:szCs w:val="21"/>
        </w:rPr>
        <w:t>年</w:t>
      </w:r>
      <w:r w:rsidRPr="005C43F2">
        <w:rPr>
          <w:rFonts w:ascii="Times New Roman" w:eastAsia="宋体" w:hAnsi="Times New Roman"/>
          <w:bCs/>
          <w:sz w:val="21"/>
          <w:szCs w:val="21"/>
        </w:rPr>
        <w:t>5</w:t>
      </w:r>
      <w:r w:rsidRPr="005C43F2">
        <w:rPr>
          <w:rFonts w:ascii="Times New Roman" w:eastAsia="宋体" w:hAnsi="Times New Roman"/>
          <w:bCs/>
          <w:sz w:val="21"/>
          <w:szCs w:val="21"/>
        </w:rPr>
        <w:t>月</w:t>
      </w:r>
      <w:r w:rsidRPr="005C43F2">
        <w:rPr>
          <w:rFonts w:ascii="Times New Roman" w:eastAsia="宋体" w:hAnsi="Times New Roman"/>
          <w:bCs/>
          <w:sz w:val="21"/>
          <w:szCs w:val="21"/>
        </w:rPr>
        <w:t>27-29</w:t>
      </w:r>
      <w:r w:rsidRPr="005C43F2">
        <w:rPr>
          <w:rFonts w:ascii="Times New Roman" w:eastAsia="宋体" w:hAnsi="Times New Roman"/>
          <w:bCs/>
          <w:sz w:val="21"/>
          <w:szCs w:val="21"/>
        </w:rPr>
        <w:t>日标委会在四川省广元市召开标准工作会议对本文件进行征求意见，工作组根据意见整理形成送审稿。</w:t>
      </w:r>
    </w:p>
    <w:p w14:paraId="5FCEF77A" w14:textId="42578C13" w:rsidR="00ED2520" w:rsidRDefault="00000000">
      <w:pPr>
        <w:pStyle w:val="1"/>
        <w:spacing w:before="0" w:after="0" w:line="360" w:lineRule="auto"/>
        <w:rPr>
          <w:rFonts w:ascii="Times New Roman" w:eastAsia="宋体" w:hAnsi="Times New Roman"/>
          <w:bCs/>
          <w:sz w:val="21"/>
          <w:szCs w:val="21"/>
        </w:rPr>
      </w:pPr>
      <w:bookmarkStart w:id="7" w:name="_Toc31809"/>
      <w:bookmarkStart w:id="8" w:name="_Toc4171"/>
      <w:r>
        <w:rPr>
          <w:rFonts w:ascii="Times New Roman" w:eastAsia="宋体" w:hAnsi="Times New Roman"/>
          <w:bCs/>
          <w:sz w:val="21"/>
          <w:szCs w:val="21"/>
        </w:rPr>
        <w:t>（</w:t>
      </w:r>
      <w:r>
        <w:rPr>
          <w:rFonts w:ascii="Times New Roman" w:eastAsia="宋体" w:hAnsi="Times New Roman"/>
          <w:bCs/>
          <w:sz w:val="21"/>
          <w:szCs w:val="21"/>
        </w:rPr>
        <w:t>3</w:t>
      </w:r>
      <w:r>
        <w:rPr>
          <w:rFonts w:ascii="Times New Roman" w:eastAsia="宋体" w:hAnsi="Times New Roman"/>
          <w:bCs/>
          <w:sz w:val="21"/>
          <w:szCs w:val="21"/>
        </w:rPr>
        <w:t>）</w:t>
      </w:r>
      <w:r w:rsidR="005C43F2">
        <w:rPr>
          <w:rFonts w:ascii="Times New Roman" w:eastAsia="宋体" w:hAnsi="Times New Roman" w:hint="eastAsia"/>
          <w:bCs/>
          <w:sz w:val="21"/>
          <w:szCs w:val="21"/>
        </w:rPr>
        <w:t>审定</w:t>
      </w:r>
      <w:r>
        <w:rPr>
          <w:rFonts w:ascii="Times New Roman" w:eastAsia="宋体" w:hAnsi="Times New Roman"/>
          <w:bCs/>
          <w:sz w:val="21"/>
          <w:szCs w:val="21"/>
        </w:rPr>
        <w:t>阶段：</w:t>
      </w:r>
      <w:bookmarkEnd w:id="7"/>
      <w:bookmarkEnd w:id="8"/>
    </w:p>
    <w:p w14:paraId="26082044" w14:textId="77777777" w:rsidR="006173AA" w:rsidRDefault="006173AA" w:rsidP="006173AA">
      <w:pPr>
        <w:spacing w:line="360" w:lineRule="auto"/>
        <w:rPr>
          <w:b/>
          <w:bCs/>
          <w:kern w:val="0"/>
          <w:szCs w:val="21"/>
        </w:rPr>
      </w:pPr>
      <w:proofErr w:type="gramStart"/>
      <w:r w:rsidRPr="006173AA">
        <w:rPr>
          <w:b/>
          <w:bCs/>
          <w:kern w:val="0"/>
          <w:szCs w:val="21"/>
        </w:rPr>
        <w:t xml:space="preserve">3 </w:t>
      </w:r>
      <w:r w:rsidRPr="006173AA">
        <w:rPr>
          <w:b/>
          <w:bCs/>
          <w:kern w:val="0"/>
          <w:szCs w:val="21"/>
        </w:rPr>
        <w:t>主要</w:t>
      </w:r>
      <w:proofErr w:type="gramEnd"/>
      <w:r w:rsidRPr="006173AA">
        <w:rPr>
          <w:b/>
          <w:bCs/>
          <w:kern w:val="0"/>
          <w:szCs w:val="21"/>
        </w:rPr>
        <w:t>参加单位和工作组成员及其所做的工作等</w:t>
      </w:r>
    </w:p>
    <w:p w14:paraId="31047030" w14:textId="50EFC2C4" w:rsidR="005C43F2" w:rsidRDefault="005C43F2" w:rsidP="005C43F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本标准主要起草单位：广东椰氏实业股份有限公司、</w:t>
      </w:r>
      <w:r>
        <w:rPr>
          <w:rFonts w:hint="eastAsia"/>
          <w:szCs w:val="21"/>
        </w:rPr>
        <w:t>中国日用化学研究院有限公司等</w:t>
      </w:r>
      <w:r>
        <w:rPr>
          <w:szCs w:val="21"/>
        </w:rPr>
        <w:t>。</w:t>
      </w:r>
    </w:p>
    <w:p w14:paraId="21F8E69A" w14:textId="77777777" w:rsidR="00ED2520" w:rsidRPr="005C43F2" w:rsidRDefault="00ED2520">
      <w:pPr>
        <w:pStyle w:val="1"/>
        <w:spacing w:before="0" w:after="0" w:line="360" w:lineRule="auto"/>
        <w:rPr>
          <w:rFonts w:ascii="Times New Roman" w:eastAsia="宋体" w:hAnsi="Times New Roman"/>
          <w:bCs/>
          <w:sz w:val="21"/>
          <w:szCs w:val="21"/>
        </w:rPr>
      </w:pPr>
    </w:p>
    <w:p w14:paraId="64B36F45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9" w:name="_Toc15780"/>
      <w:r>
        <w:rPr>
          <w:rFonts w:ascii="Times New Roman" w:eastAsia="等线" w:hAnsi="Times New Roman"/>
          <w:b/>
          <w:sz w:val="24"/>
          <w:szCs w:val="24"/>
        </w:rPr>
        <w:t>二、目的和意义</w:t>
      </w:r>
      <w:bookmarkEnd w:id="6"/>
      <w:bookmarkEnd w:id="9"/>
    </w:p>
    <w:p w14:paraId="52C0954A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椰油酰胺甲基</w:t>
      </w:r>
      <w:r>
        <w:rPr>
          <w:szCs w:val="21"/>
        </w:rPr>
        <w:t xml:space="preserve"> MEA</w:t>
      </w:r>
      <w:r>
        <w:rPr>
          <w:szCs w:val="21"/>
        </w:rPr>
        <w:t>为植物来源的非离子表面活性剂，与</w:t>
      </w:r>
      <w:r>
        <w:rPr>
          <w:rFonts w:hint="eastAsia"/>
          <w:szCs w:val="21"/>
        </w:rPr>
        <w:t>CDEA</w:t>
      </w:r>
      <w:r>
        <w:rPr>
          <w:szCs w:val="21"/>
        </w:rPr>
        <w:t>和</w:t>
      </w:r>
      <w:r>
        <w:rPr>
          <w:szCs w:val="21"/>
        </w:rPr>
        <w:t>CMEA</w:t>
      </w:r>
      <w:r>
        <w:rPr>
          <w:szCs w:val="21"/>
        </w:rPr>
        <w:t>同属酰胺类增稠稳泡剂；具有良好的稳定性，能有效避免二乙醇胺和亚硝胺等有害杂质对人体的危害，对皮肤刺激性小，性质温和，易生物降解，是酰胺类稳泡增稠剂升级换代的重要产品。</w:t>
      </w:r>
      <w:r>
        <w:rPr>
          <w:szCs w:val="21"/>
        </w:rPr>
        <w:t xml:space="preserve"> </w:t>
      </w:r>
    </w:p>
    <w:p w14:paraId="412C0EF3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bookmarkStart w:id="10" w:name="_Toc522368176"/>
      <w:r>
        <w:rPr>
          <w:szCs w:val="21"/>
        </w:rPr>
        <w:t>近年来，随着化妆品法律法规对原料的要求提高和推动产业化的高质量发展。温和安全的椰油酰胺甲基</w:t>
      </w:r>
      <w:r>
        <w:rPr>
          <w:szCs w:val="21"/>
        </w:rPr>
        <w:t xml:space="preserve"> MEA</w:t>
      </w:r>
      <w:r>
        <w:rPr>
          <w:szCs w:val="21"/>
        </w:rPr>
        <w:t>代替同类型的烷醇酰胺非离子表面活性剂在高端洗发香波、沐浴、洁面以及婴童洗发沐浴二合一等产品中得到广泛使用。截至</w:t>
      </w:r>
      <w:r>
        <w:rPr>
          <w:szCs w:val="21"/>
        </w:rPr>
        <w:t>202</w:t>
      </w:r>
      <w:r>
        <w:rPr>
          <w:rFonts w:hint="eastAsia"/>
          <w:szCs w:val="21"/>
        </w:rPr>
        <w:t>6</w:t>
      </w:r>
      <w:r>
        <w:rPr>
          <w:szCs w:val="21"/>
        </w:rPr>
        <w:t>年</w:t>
      </w:r>
      <w:r>
        <w:rPr>
          <w:rFonts w:hint="eastAsia"/>
          <w:szCs w:val="21"/>
        </w:rPr>
        <w:t>3</w:t>
      </w:r>
      <w:r>
        <w:rPr>
          <w:szCs w:val="21"/>
        </w:rPr>
        <w:t>月，椰油酰胺甲基</w:t>
      </w:r>
      <w:r>
        <w:rPr>
          <w:szCs w:val="21"/>
        </w:rPr>
        <w:t xml:space="preserve"> MEA</w:t>
      </w:r>
      <w:r>
        <w:rPr>
          <w:szCs w:val="21"/>
        </w:rPr>
        <w:t>在化妆品中使用已达到</w:t>
      </w:r>
      <w:r>
        <w:rPr>
          <w:rFonts w:hint="eastAsia"/>
          <w:szCs w:val="21"/>
        </w:rPr>
        <w:t>42775</w:t>
      </w:r>
      <w:r>
        <w:rPr>
          <w:szCs w:val="21"/>
        </w:rPr>
        <w:t>次（数据来源美丽修行大数据）。其中包括宝洁、联合利华、资生堂、安利、拉芳、环亚、新高姿、澳宝、青蛙王子、上海家化等多个国内外知名品牌在</w:t>
      </w:r>
      <w:r>
        <w:rPr>
          <w:szCs w:val="21"/>
        </w:rPr>
        <w:lastRenderedPageBreak/>
        <w:t>多个系列产品中，广泛使用椰油酰胺甲基</w:t>
      </w:r>
      <w:r>
        <w:rPr>
          <w:szCs w:val="21"/>
        </w:rPr>
        <w:t xml:space="preserve"> MEA</w:t>
      </w:r>
      <w:r>
        <w:rPr>
          <w:szCs w:val="21"/>
        </w:rPr>
        <w:t>作为核心原料。</w:t>
      </w:r>
    </w:p>
    <w:p w14:paraId="52465CAA" w14:textId="77777777" w:rsidR="00ED2520" w:rsidRDefault="00000000">
      <w:pPr>
        <w:adjustRightInd w:val="0"/>
        <w:snapToGrid w:val="0"/>
        <w:spacing w:line="360" w:lineRule="auto"/>
        <w:ind w:firstLineChars="200" w:firstLine="420"/>
      </w:pPr>
      <w:r>
        <w:rPr>
          <w:szCs w:val="21"/>
        </w:rPr>
        <w:t>然而，目前由于</w:t>
      </w:r>
      <w:r>
        <w:rPr>
          <w:rFonts w:hint="eastAsia"/>
          <w:szCs w:val="21"/>
        </w:rPr>
        <w:t>椰油酰胺甲基</w:t>
      </w:r>
      <w:r>
        <w:rPr>
          <w:rFonts w:hint="eastAsia"/>
          <w:szCs w:val="21"/>
        </w:rPr>
        <w:t xml:space="preserve"> MEA</w:t>
      </w:r>
      <w:r>
        <w:rPr>
          <w:szCs w:val="21"/>
        </w:rPr>
        <w:t>仍没有其相关的国家和行业标准，导致市场上该原料的质量良莠不齐，各个生产企业对技术指标的控制也不尽相同。因此，为了更好的推动该原料的规范管理，实现产品标准化和统一化，促进表面活性剂行业的健康发展，以满足下游企业的技术创新需要，制定椰油酰胺甲基</w:t>
      </w:r>
      <w:r>
        <w:rPr>
          <w:szCs w:val="21"/>
        </w:rPr>
        <w:t xml:space="preserve"> MEA</w:t>
      </w:r>
      <w:r>
        <w:rPr>
          <w:szCs w:val="21"/>
        </w:rPr>
        <w:t>的行业标准是非常有必要的，也是可行的。</w:t>
      </w:r>
    </w:p>
    <w:p w14:paraId="705DBE2C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11" w:name="_Toc4593"/>
      <w:r>
        <w:rPr>
          <w:rFonts w:ascii="Times New Roman" w:eastAsia="等线" w:hAnsi="Times New Roman"/>
          <w:b/>
          <w:sz w:val="24"/>
          <w:szCs w:val="24"/>
        </w:rPr>
        <w:t>三、标准编制原则和主要内容</w:t>
      </w:r>
      <w:bookmarkEnd w:id="10"/>
      <w:bookmarkEnd w:id="11"/>
    </w:p>
    <w:p w14:paraId="575584B6" w14:textId="77777777" w:rsidR="00ED2520" w:rsidRDefault="00000000">
      <w:pPr>
        <w:pStyle w:val="2"/>
        <w:spacing w:before="0" w:after="0" w:line="360" w:lineRule="auto"/>
        <w:rPr>
          <w:rFonts w:ascii="Times New Roman" w:eastAsia="宋体" w:hAnsi="Times New Roman"/>
          <w:sz w:val="21"/>
          <w:szCs w:val="21"/>
        </w:rPr>
      </w:pPr>
      <w:bookmarkStart w:id="12" w:name="_Toc522368177"/>
      <w:bookmarkStart w:id="13" w:name="_Toc30139"/>
      <w:r>
        <w:rPr>
          <w:rFonts w:ascii="Times New Roman" w:eastAsia="宋体" w:hAnsi="Times New Roman" w:hint="eastAsia"/>
          <w:sz w:val="21"/>
          <w:szCs w:val="21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、</w:t>
      </w:r>
      <w:r>
        <w:rPr>
          <w:rFonts w:ascii="Times New Roman" w:eastAsia="宋体" w:hAnsi="Times New Roman"/>
          <w:sz w:val="21"/>
          <w:szCs w:val="21"/>
        </w:rPr>
        <w:t>标准编制原则</w:t>
      </w:r>
      <w:bookmarkEnd w:id="12"/>
      <w:bookmarkEnd w:id="13"/>
    </w:p>
    <w:p w14:paraId="06D11529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1E256D9C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本标准起草过程中，主要按</w:t>
      </w:r>
      <w:r>
        <w:rPr>
          <w:szCs w:val="21"/>
        </w:rPr>
        <w:t>GB/T 1.1-20</w:t>
      </w:r>
      <w:r>
        <w:rPr>
          <w:rFonts w:hint="eastAsia"/>
          <w:szCs w:val="21"/>
        </w:rPr>
        <w:t>20</w:t>
      </w:r>
      <w:r>
        <w:rPr>
          <w:szCs w:val="21"/>
        </w:rPr>
        <w:t>《标准化工作导则</w:t>
      </w:r>
      <w:r>
        <w:rPr>
          <w:szCs w:val="21"/>
        </w:rPr>
        <w:t xml:space="preserve"> </w:t>
      </w:r>
      <w:r>
        <w:rPr>
          <w:szCs w:val="21"/>
        </w:rPr>
        <w:t>第</w:t>
      </w:r>
      <w:r>
        <w:rPr>
          <w:szCs w:val="21"/>
        </w:rPr>
        <w:t>1</w:t>
      </w:r>
      <w:r>
        <w:rPr>
          <w:szCs w:val="21"/>
        </w:rPr>
        <w:t>部分：标准</w:t>
      </w:r>
      <w:r>
        <w:rPr>
          <w:rFonts w:hint="eastAsia"/>
          <w:szCs w:val="21"/>
        </w:rPr>
        <w:t>化文件</w:t>
      </w:r>
      <w:r>
        <w:rPr>
          <w:szCs w:val="21"/>
        </w:rPr>
        <w:t>的结构和</w:t>
      </w:r>
      <w:r>
        <w:rPr>
          <w:rFonts w:hint="eastAsia"/>
          <w:szCs w:val="21"/>
        </w:rPr>
        <w:t>起草规则</w:t>
      </w:r>
      <w:r>
        <w:rPr>
          <w:szCs w:val="21"/>
        </w:rPr>
        <w:t>》进行编写。本标准制定过程中，主要参考了以下标准或文件：</w:t>
      </w:r>
      <w:bookmarkStart w:id="14" w:name="_Toc11838003"/>
      <w:bookmarkStart w:id="15" w:name="_Toc11837264"/>
      <w:bookmarkStart w:id="16" w:name="_Toc3372"/>
      <w:bookmarkStart w:id="17" w:name="_Toc522368178"/>
    </w:p>
    <w:bookmarkEnd w:id="14"/>
    <w:bookmarkEnd w:id="15"/>
    <w:bookmarkEnd w:id="16"/>
    <w:p w14:paraId="1CEAB77D" w14:textId="77777777" w:rsidR="00ED2520" w:rsidRDefault="00000000">
      <w:pPr>
        <w:pStyle w:val="af2"/>
        <w:rPr>
          <w:rFonts w:ascii="Times New Roman"/>
          <w:kern w:val="2"/>
          <w:szCs w:val="21"/>
        </w:rPr>
      </w:pPr>
      <w:r>
        <w:rPr>
          <w:rFonts w:ascii="Times New Roman" w:hint="eastAsia"/>
          <w:kern w:val="2"/>
          <w:szCs w:val="21"/>
        </w:rPr>
        <w:t xml:space="preserve">GB/T 3143   </w:t>
      </w:r>
      <w:r>
        <w:rPr>
          <w:rFonts w:ascii="Times New Roman" w:hint="eastAsia"/>
          <w:kern w:val="2"/>
          <w:szCs w:val="21"/>
        </w:rPr>
        <w:t>液体化学产品颜色测定法（</w:t>
      </w:r>
      <w:r>
        <w:rPr>
          <w:rFonts w:ascii="Times New Roman" w:hint="eastAsia"/>
          <w:kern w:val="2"/>
          <w:szCs w:val="21"/>
        </w:rPr>
        <w:t>Hazen</w:t>
      </w:r>
      <w:r>
        <w:rPr>
          <w:rFonts w:ascii="Times New Roman" w:hint="eastAsia"/>
          <w:kern w:val="2"/>
          <w:szCs w:val="21"/>
        </w:rPr>
        <w:t>单位</w:t>
      </w:r>
      <w:r>
        <w:rPr>
          <w:rFonts w:ascii="Times New Roman" w:hint="eastAsia"/>
          <w:kern w:val="2"/>
          <w:szCs w:val="21"/>
        </w:rPr>
        <w:t>-</w:t>
      </w:r>
      <w:r>
        <w:rPr>
          <w:rFonts w:ascii="Times New Roman" w:hint="eastAsia"/>
          <w:kern w:val="2"/>
          <w:szCs w:val="21"/>
        </w:rPr>
        <w:t>铂</w:t>
      </w:r>
      <w:r>
        <w:rPr>
          <w:rFonts w:ascii="Times New Roman" w:hint="eastAsia"/>
          <w:kern w:val="2"/>
          <w:szCs w:val="21"/>
        </w:rPr>
        <w:t>-</w:t>
      </w:r>
      <w:r>
        <w:rPr>
          <w:rFonts w:ascii="Times New Roman" w:hint="eastAsia"/>
          <w:kern w:val="2"/>
          <w:szCs w:val="21"/>
        </w:rPr>
        <w:t>钴色号）</w:t>
      </w:r>
    </w:p>
    <w:p w14:paraId="738E0AA0" w14:textId="77777777" w:rsidR="00ED2520" w:rsidRDefault="00000000">
      <w:pPr>
        <w:pStyle w:val="af2"/>
        <w:rPr>
          <w:rFonts w:ascii="Times New Roman"/>
          <w:kern w:val="2"/>
          <w:szCs w:val="21"/>
        </w:rPr>
      </w:pPr>
      <w:r>
        <w:rPr>
          <w:rFonts w:ascii="Times New Roman" w:hint="eastAsia"/>
          <w:kern w:val="2"/>
          <w:szCs w:val="21"/>
        </w:rPr>
        <w:t xml:space="preserve">GB/T 6368   </w:t>
      </w:r>
      <w:r>
        <w:rPr>
          <w:rFonts w:ascii="Times New Roman" w:hint="eastAsia"/>
          <w:kern w:val="2"/>
          <w:szCs w:val="21"/>
        </w:rPr>
        <w:t>表面活性剂</w:t>
      </w:r>
      <w:r>
        <w:rPr>
          <w:rFonts w:ascii="Times New Roman" w:hint="eastAsia"/>
          <w:kern w:val="2"/>
          <w:szCs w:val="21"/>
        </w:rPr>
        <w:t xml:space="preserve">  </w:t>
      </w:r>
      <w:r>
        <w:rPr>
          <w:rFonts w:ascii="Times New Roman" w:hint="eastAsia"/>
          <w:kern w:val="2"/>
          <w:szCs w:val="21"/>
        </w:rPr>
        <w:t>水溶液</w:t>
      </w:r>
      <w:r>
        <w:rPr>
          <w:rFonts w:ascii="Times New Roman" w:hint="eastAsia"/>
          <w:kern w:val="2"/>
          <w:szCs w:val="21"/>
        </w:rPr>
        <w:t>pH</w:t>
      </w:r>
      <w:r>
        <w:rPr>
          <w:rFonts w:ascii="Times New Roman" w:hint="eastAsia"/>
          <w:kern w:val="2"/>
          <w:szCs w:val="21"/>
        </w:rPr>
        <w:t>值的测定</w:t>
      </w:r>
      <w:r>
        <w:rPr>
          <w:rFonts w:ascii="Times New Roman" w:hint="eastAsia"/>
          <w:kern w:val="2"/>
          <w:szCs w:val="21"/>
        </w:rPr>
        <w:t xml:space="preserve">  </w:t>
      </w:r>
      <w:r>
        <w:rPr>
          <w:rFonts w:ascii="Times New Roman" w:hint="eastAsia"/>
          <w:kern w:val="2"/>
          <w:szCs w:val="21"/>
        </w:rPr>
        <w:t>电位法</w:t>
      </w:r>
    </w:p>
    <w:p w14:paraId="2B3AA29F" w14:textId="77777777" w:rsidR="00ED2520" w:rsidRDefault="00000000">
      <w:pPr>
        <w:pStyle w:val="af2"/>
        <w:rPr>
          <w:rFonts w:ascii="Times New Roman"/>
          <w:kern w:val="2"/>
          <w:szCs w:val="21"/>
        </w:rPr>
      </w:pPr>
      <w:r>
        <w:rPr>
          <w:rFonts w:ascii="Times New Roman" w:hint="eastAsia"/>
          <w:kern w:val="2"/>
          <w:szCs w:val="21"/>
        </w:rPr>
        <w:t xml:space="preserve">GB/T 11275  </w:t>
      </w:r>
      <w:r>
        <w:rPr>
          <w:rFonts w:ascii="Times New Roman" w:hint="eastAsia"/>
          <w:kern w:val="2"/>
          <w:szCs w:val="21"/>
        </w:rPr>
        <w:t>表面活性剂</w:t>
      </w:r>
      <w:r>
        <w:rPr>
          <w:rFonts w:ascii="Times New Roman" w:hint="eastAsia"/>
          <w:kern w:val="2"/>
          <w:szCs w:val="21"/>
        </w:rPr>
        <w:t xml:space="preserve">  </w:t>
      </w:r>
      <w:r>
        <w:rPr>
          <w:rFonts w:ascii="Times New Roman" w:hint="eastAsia"/>
          <w:kern w:val="2"/>
          <w:szCs w:val="21"/>
        </w:rPr>
        <w:t>含水量的测定</w:t>
      </w:r>
    </w:p>
    <w:p w14:paraId="037D8967" w14:textId="77777777" w:rsidR="00ED2520" w:rsidRDefault="00000000">
      <w:pPr>
        <w:pStyle w:val="af2"/>
        <w:rPr>
          <w:rFonts w:ascii="Times New Roman"/>
          <w:kern w:val="2"/>
          <w:szCs w:val="21"/>
        </w:rPr>
      </w:pPr>
      <w:r>
        <w:rPr>
          <w:rFonts w:ascii="Times New Roman" w:hint="eastAsia"/>
          <w:kern w:val="2"/>
          <w:szCs w:val="21"/>
        </w:rPr>
        <w:t xml:space="preserve">GB/T 15046  </w:t>
      </w:r>
      <w:r>
        <w:rPr>
          <w:rFonts w:ascii="Times New Roman" w:hint="eastAsia"/>
          <w:kern w:val="2"/>
          <w:szCs w:val="21"/>
        </w:rPr>
        <w:t>脂肪酰二乙醇胺</w:t>
      </w:r>
    </w:p>
    <w:p w14:paraId="020CED84" w14:textId="77777777" w:rsidR="00ED2520" w:rsidRDefault="00000000">
      <w:pPr>
        <w:pStyle w:val="af2"/>
        <w:rPr>
          <w:rFonts w:ascii="Times New Roman"/>
          <w:kern w:val="2"/>
          <w:szCs w:val="21"/>
        </w:rPr>
      </w:pPr>
      <w:r>
        <w:rPr>
          <w:rFonts w:ascii="Times New Roman" w:hint="eastAsia"/>
          <w:kern w:val="2"/>
          <w:szCs w:val="21"/>
        </w:rPr>
        <w:t xml:space="preserve">GB/T 22328  </w:t>
      </w:r>
      <w:r>
        <w:rPr>
          <w:rFonts w:ascii="Times New Roman" w:hint="eastAsia"/>
          <w:kern w:val="2"/>
          <w:szCs w:val="21"/>
        </w:rPr>
        <w:t>动植物油脂</w:t>
      </w:r>
      <w:r>
        <w:rPr>
          <w:rFonts w:ascii="Times New Roman" w:hint="eastAsia"/>
          <w:kern w:val="2"/>
          <w:szCs w:val="21"/>
        </w:rPr>
        <w:t xml:space="preserve">  1-</w:t>
      </w:r>
      <w:r>
        <w:rPr>
          <w:rFonts w:ascii="Times New Roman" w:hint="eastAsia"/>
          <w:kern w:val="2"/>
          <w:szCs w:val="21"/>
        </w:rPr>
        <w:t>单甘酯和游离甘油含量的测定</w:t>
      </w:r>
    </w:p>
    <w:p w14:paraId="4500A42A" w14:textId="77777777" w:rsidR="00ED2520" w:rsidRDefault="00000000">
      <w:pPr>
        <w:pStyle w:val="af2"/>
        <w:rPr>
          <w:rFonts w:ascii="Times New Roman"/>
        </w:rPr>
      </w:pPr>
      <w:bookmarkStart w:id="18" w:name="OLE_LINK2"/>
      <w:r>
        <w:rPr>
          <w:rFonts w:ascii="Times New Roman" w:hint="eastAsia"/>
          <w:kern w:val="2"/>
          <w:szCs w:val="21"/>
        </w:rPr>
        <w:t xml:space="preserve">GB/T 30795  </w:t>
      </w:r>
      <w:r>
        <w:rPr>
          <w:rFonts w:ascii="Times New Roman" w:hint="eastAsia"/>
          <w:kern w:val="2"/>
          <w:szCs w:val="21"/>
        </w:rPr>
        <w:t>食品用洗涤剂试验方法</w:t>
      </w:r>
      <w:r>
        <w:rPr>
          <w:rFonts w:ascii="Times New Roman" w:hint="eastAsia"/>
          <w:kern w:val="2"/>
          <w:szCs w:val="21"/>
        </w:rPr>
        <w:t xml:space="preserve">  </w:t>
      </w:r>
      <w:r>
        <w:rPr>
          <w:rFonts w:ascii="Times New Roman" w:hint="eastAsia"/>
          <w:kern w:val="2"/>
          <w:szCs w:val="21"/>
        </w:rPr>
        <w:t>甲醇的测定</w:t>
      </w:r>
    </w:p>
    <w:p w14:paraId="44A6B67A" w14:textId="77777777" w:rsidR="00ED2520" w:rsidRDefault="00000000">
      <w:pPr>
        <w:pStyle w:val="2"/>
        <w:spacing w:before="0" w:after="0" w:line="360" w:lineRule="auto"/>
        <w:rPr>
          <w:rFonts w:ascii="Times New Roman" w:eastAsia="宋体" w:hAnsi="Times New Roman"/>
          <w:sz w:val="21"/>
          <w:szCs w:val="21"/>
        </w:rPr>
      </w:pPr>
      <w:bookmarkStart w:id="19" w:name="_Toc24057"/>
      <w:bookmarkEnd w:id="17"/>
      <w:bookmarkEnd w:id="18"/>
      <w:r>
        <w:rPr>
          <w:rFonts w:ascii="Times New Roman" w:eastAsia="宋体" w:hAnsi="Times New Roman" w:hint="eastAsia"/>
          <w:sz w:val="21"/>
          <w:szCs w:val="21"/>
        </w:rPr>
        <w:t>2</w:t>
      </w:r>
      <w:r>
        <w:rPr>
          <w:rFonts w:ascii="Times New Roman" w:eastAsia="宋体" w:hAnsi="Times New Roman" w:hint="eastAsia"/>
          <w:sz w:val="21"/>
          <w:szCs w:val="21"/>
        </w:rPr>
        <w:t>、</w:t>
      </w:r>
      <w:r>
        <w:rPr>
          <w:rFonts w:ascii="Times New Roman" w:eastAsia="宋体" w:hAnsi="Times New Roman"/>
          <w:sz w:val="21"/>
          <w:szCs w:val="21"/>
        </w:rPr>
        <w:t>标准主要内容</w:t>
      </w:r>
      <w:bookmarkEnd w:id="19"/>
    </w:p>
    <w:p w14:paraId="4AB34148" w14:textId="77777777" w:rsidR="00ED2520" w:rsidRDefault="00000000">
      <w:pPr>
        <w:adjustRightInd w:val="0"/>
        <w:snapToGrid w:val="0"/>
        <w:spacing w:line="360" w:lineRule="auto"/>
        <w:ind w:firstLineChars="200" w:firstLine="420"/>
      </w:pPr>
      <w:r>
        <w:rPr>
          <w:szCs w:val="21"/>
        </w:rPr>
        <w:t>椰油酰胺甲基</w:t>
      </w:r>
      <w:r>
        <w:rPr>
          <w:szCs w:val="21"/>
        </w:rPr>
        <w:t xml:space="preserve"> MEA</w:t>
      </w:r>
      <w:r>
        <w:rPr>
          <w:szCs w:val="21"/>
        </w:rPr>
        <w:t>是烷醇酰胺型非离子表面活性剂，不含有二乙醇胺，刺激性低，在水中易分散溶解，生产操作使用方便，无需加热亦能快速溶于表面活性剂体系中。与其它类型表面活性剂匹配性好，对阴离子表面活性剂复配体系如</w:t>
      </w:r>
      <w:r>
        <w:rPr>
          <w:szCs w:val="21"/>
        </w:rPr>
        <w:t>AES/AOS</w:t>
      </w:r>
      <w:r>
        <w:rPr>
          <w:szCs w:val="21"/>
        </w:rPr>
        <w:t>或</w:t>
      </w:r>
      <w:r>
        <w:rPr>
          <w:szCs w:val="21"/>
        </w:rPr>
        <w:t>AES/LAS</w:t>
      </w:r>
      <w:r>
        <w:rPr>
          <w:szCs w:val="21"/>
        </w:rPr>
        <w:t>体系，尤其是其中含有</w:t>
      </w:r>
      <w:r>
        <w:rPr>
          <w:szCs w:val="21"/>
        </w:rPr>
        <w:t>AEO</w:t>
      </w:r>
      <w:r>
        <w:rPr>
          <w:szCs w:val="21"/>
        </w:rPr>
        <w:t>的各种液体产品具有优异的协同增稠作用和起泡</w:t>
      </w:r>
      <w:r>
        <w:rPr>
          <w:szCs w:val="21"/>
        </w:rPr>
        <w:t>/</w:t>
      </w:r>
      <w:r>
        <w:rPr>
          <w:szCs w:val="21"/>
        </w:rPr>
        <w:t>稳泡性；在体系呈酸性时与阴离子表面活性剂配伍增稠效果特别明显；在含油脂较高的体系中，亦有良好的增稠效果。广泛适用于香波、沐浴露、洗衣液、洗洁精、洗手液等液体清洗剂，起到增稠、增泡稳泡，以及提升清洁效果的作用。</w:t>
      </w:r>
    </w:p>
    <w:p w14:paraId="59DC54A0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bookmarkStart w:id="20" w:name="_Toc29416"/>
      <w:bookmarkStart w:id="21" w:name="_Toc2399"/>
      <w:bookmarkStart w:id="22" w:name="_Toc522368179"/>
      <w:r>
        <w:rPr>
          <w:rFonts w:hint="eastAsia"/>
          <w:szCs w:val="21"/>
        </w:rPr>
        <w:t>本标准规定了非离子表面活性剂椰油酰胺甲基</w:t>
      </w:r>
      <w:r>
        <w:rPr>
          <w:rFonts w:hint="eastAsia"/>
          <w:szCs w:val="21"/>
        </w:rPr>
        <w:t xml:space="preserve"> MEA</w:t>
      </w:r>
      <w:r>
        <w:rPr>
          <w:rFonts w:hint="eastAsia"/>
          <w:szCs w:val="21"/>
        </w:rPr>
        <w:t>的分类、要求、试验方法、检验规则、标志、包装、运输、贮存和保质期。</w:t>
      </w:r>
      <w:bookmarkEnd w:id="20"/>
      <w:bookmarkEnd w:id="21"/>
    </w:p>
    <w:p w14:paraId="74A7666C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23" w:name="_Toc4632"/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.1</w:t>
      </w:r>
      <w:r>
        <w:rPr>
          <w:sz w:val="21"/>
          <w:szCs w:val="21"/>
        </w:rPr>
        <w:t>外观</w:t>
      </w:r>
      <w:bookmarkEnd w:id="22"/>
      <w:bookmarkEnd w:id="23"/>
    </w:p>
    <w:p w14:paraId="55113771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25℃</w:t>
      </w:r>
      <w:r>
        <w:rPr>
          <w:szCs w:val="21"/>
        </w:rPr>
        <w:t>下，</w:t>
      </w:r>
      <w:r>
        <w:rPr>
          <w:rFonts w:hint="eastAsia"/>
          <w:szCs w:val="21"/>
        </w:rPr>
        <w:t>规定</w:t>
      </w:r>
      <w:r>
        <w:rPr>
          <w:szCs w:val="21"/>
        </w:rPr>
        <w:t>产品</w:t>
      </w:r>
      <w:r>
        <w:rPr>
          <w:rFonts w:hint="eastAsia"/>
          <w:szCs w:val="21"/>
        </w:rPr>
        <w:t>外观</w:t>
      </w:r>
      <w:r>
        <w:rPr>
          <w:szCs w:val="21"/>
        </w:rPr>
        <w:t>为淡黄色至黄色液体</w:t>
      </w:r>
      <w:r>
        <w:rPr>
          <w:rFonts w:hint="eastAsia"/>
          <w:szCs w:val="21"/>
        </w:rPr>
        <w:t>或膏体</w:t>
      </w:r>
      <w:r>
        <w:rPr>
          <w:szCs w:val="21"/>
        </w:rPr>
        <w:t>。具体测试方法：取适量试样置于干燥洁净的透明玻璃器皿内，在非直射光条件下目测。</w:t>
      </w:r>
    </w:p>
    <w:p w14:paraId="1088CDC9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24" w:name="_Toc522368180"/>
      <w:bookmarkStart w:id="25" w:name="_Toc15510"/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.2</w:t>
      </w:r>
      <w:r>
        <w:rPr>
          <w:sz w:val="21"/>
          <w:szCs w:val="21"/>
        </w:rPr>
        <w:t>气味</w:t>
      </w:r>
      <w:bookmarkEnd w:id="24"/>
      <w:bookmarkEnd w:id="25"/>
    </w:p>
    <w:p w14:paraId="6B4B426D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通过取试样用嗅觉进行鉴别，如果产品气味较大，说明产品中残留的杂质（游离胺）较多；反之，说明产品纯度较高。本标准规定产品的气味为轻微特征气味。</w:t>
      </w:r>
    </w:p>
    <w:p w14:paraId="41404875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26" w:name="_Toc522368181"/>
      <w:bookmarkStart w:id="27" w:name="_Toc4783"/>
      <w:r>
        <w:rPr>
          <w:rFonts w:hint="eastAsia"/>
          <w:sz w:val="21"/>
          <w:szCs w:val="21"/>
        </w:rPr>
        <w:lastRenderedPageBreak/>
        <w:t>2</w:t>
      </w:r>
      <w:r>
        <w:rPr>
          <w:sz w:val="21"/>
          <w:szCs w:val="21"/>
        </w:rPr>
        <w:t>.3 pH</w:t>
      </w:r>
      <w:bookmarkEnd w:id="26"/>
      <w:bookmarkEnd w:id="27"/>
    </w:p>
    <w:p w14:paraId="5A2889E4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pH</w:t>
      </w:r>
      <w:r>
        <w:rPr>
          <w:szCs w:val="21"/>
        </w:rPr>
        <w:t>是描述酸碱度的一个重要指标。椰油酰胺甲基</w:t>
      </w:r>
      <w:r>
        <w:rPr>
          <w:szCs w:val="21"/>
        </w:rPr>
        <w:t xml:space="preserve"> MEA</w:t>
      </w:r>
      <w:r>
        <w:rPr>
          <w:szCs w:val="21"/>
        </w:rPr>
        <w:t>是由椰子油与甲基单乙醇胺反应而制得，为了保证椰子油能够反应完全，一般会</w:t>
      </w:r>
      <w:r>
        <w:rPr>
          <w:rFonts w:hint="eastAsia"/>
          <w:szCs w:val="21"/>
        </w:rPr>
        <w:t>略</w:t>
      </w:r>
      <w:r>
        <w:rPr>
          <w:szCs w:val="21"/>
        </w:rPr>
        <w:t>微增加甲基单乙醇胺的用量，而甲基单乙醇胺是一种碱性原料，因此椰油酰胺甲基</w:t>
      </w:r>
      <w:r>
        <w:rPr>
          <w:szCs w:val="21"/>
        </w:rPr>
        <w:t xml:space="preserve"> MEA</w:t>
      </w:r>
      <w:r>
        <w:rPr>
          <w:szCs w:val="21"/>
        </w:rPr>
        <w:t>产品会显示弱碱性，产品碱性的强弱会受到产品中残留游离胺的影响，游离胺残留量大，碱性也会有所加强。目前国内生产企业对椰油酰胺甲基</w:t>
      </w:r>
      <w:r>
        <w:rPr>
          <w:szCs w:val="21"/>
        </w:rPr>
        <w:t xml:space="preserve"> MEA</w:t>
      </w:r>
      <w:r>
        <w:rPr>
          <w:rFonts w:hint="eastAsia"/>
          <w:szCs w:val="21"/>
        </w:rPr>
        <w:t>的</w:t>
      </w:r>
      <w:r>
        <w:rPr>
          <w:szCs w:val="21"/>
        </w:rPr>
        <w:t>pH</w:t>
      </w:r>
      <w:r>
        <w:rPr>
          <w:szCs w:val="21"/>
        </w:rPr>
        <w:t>值的规定有</w:t>
      </w:r>
      <w:r>
        <w:rPr>
          <w:szCs w:val="21"/>
        </w:rPr>
        <w:t>8.0~10.5</w:t>
      </w:r>
      <w:r>
        <w:rPr>
          <w:szCs w:val="21"/>
        </w:rPr>
        <w:t>、</w:t>
      </w:r>
      <w:r>
        <w:rPr>
          <w:szCs w:val="21"/>
        </w:rPr>
        <w:t>8.0~11.0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9</w:t>
      </w:r>
      <w:r>
        <w:rPr>
          <w:szCs w:val="21"/>
        </w:rPr>
        <w:t>.0~11.0</w:t>
      </w:r>
      <w:r>
        <w:rPr>
          <w:szCs w:val="21"/>
        </w:rPr>
        <w:t>和</w:t>
      </w:r>
      <w:r>
        <w:rPr>
          <w:szCs w:val="21"/>
        </w:rPr>
        <w:t>9.0~11.5</w:t>
      </w:r>
      <w:r>
        <w:rPr>
          <w:szCs w:val="21"/>
        </w:rPr>
        <w:t>，比较同一样品，分别使用水和甲醇</w:t>
      </w:r>
      <w:r>
        <w:rPr>
          <w:szCs w:val="21"/>
        </w:rPr>
        <w:t>/</w:t>
      </w:r>
      <w:r>
        <w:rPr>
          <w:szCs w:val="21"/>
        </w:rPr>
        <w:t>水混合溶剂溶解样品，后者所测的</w:t>
      </w:r>
      <w:r>
        <w:rPr>
          <w:szCs w:val="21"/>
        </w:rPr>
        <w:t>pH</w:t>
      </w:r>
      <w:r>
        <w:rPr>
          <w:szCs w:val="21"/>
        </w:rPr>
        <w:t>值比前者的略高，且样品浓度越高，</w:t>
      </w:r>
      <w:r>
        <w:rPr>
          <w:szCs w:val="21"/>
        </w:rPr>
        <w:t>pH</w:t>
      </w:r>
      <w:r>
        <w:rPr>
          <w:szCs w:val="21"/>
        </w:rPr>
        <w:t>值也会越大。根据对市场上的样品进行检测，发现</w:t>
      </w:r>
      <w:r>
        <w:rPr>
          <w:szCs w:val="21"/>
        </w:rPr>
        <w:t>pH</w:t>
      </w:r>
      <w:r>
        <w:rPr>
          <w:szCs w:val="21"/>
        </w:rPr>
        <w:t>值</w:t>
      </w:r>
      <w:r>
        <w:rPr>
          <w:rFonts w:hint="eastAsia"/>
          <w:szCs w:val="21"/>
        </w:rPr>
        <w:t>都</w:t>
      </w:r>
      <w:r>
        <w:rPr>
          <w:szCs w:val="21"/>
        </w:rPr>
        <w:t>控制在</w:t>
      </w:r>
      <w:r>
        <w:rPr>
          <w:rFonts w:hint="eastAsia"/>
          <w:szCs w:val="21"/>
        </w:rPr>
        <w:t>8</w:t>
      </w:r>
      <w:r>
        <w:rPr>
          <w:szCs w:val="21"/>
        </w:rPr>
        <w:t>.0~11.0</w:t>
      </w:r>
      <w:r>
        <w:rPr>
          <w:szCs w:val="21"/>
        </w:rPr>
        <w:t>之间。因此，本标准规定椰油酰胺甲基</w:t>
      </w:r>
      <w:r>
        <w:rPr>
          <w:szCs w:val="21"/>
        </w:rPr>
        <w:t xml:space="preserve"> MEA</w:t>
      </w:r>
      <w:r>
        <w:rPr>
          <w:szCs w:val="21"/>
        </w:rPr>
        <w:t>的</w:t>
      </w:r>
      <w:r>
        <w:rPr>
          <w:szCs w:val="21"/>
        </w:rPr>
        <w:t xml:space="preserve"> pH</w:t>
      </w:r>
      <w:r>
        <w:rPr>
          <w:szCs w:val="21"/>
        </w:rPr>
        <w:t>值为</w:t>
      </w:r>
      <w:r>
        <w:rPr>
          <w:rFonts w:hint="eastAsia"/>
          <w:szCs w:val="21"/>
        </w:rPr>
        <w:t>8</w:t>
      </w:r>
      <w:r>
        <w:rPr>
          <w:szCs w:val="21"/>
        </w:rPr>
        <w:t>.0~11.0</w:t>
      </w:r>
      <w:r>
        <w:rPr>
          <w:szCs w:val="21"/>
        </w:rPr>
        <w:t>。具体测试方法：将样品配成</w:t>
      </w:r>
      <w:r>
        <w:rPr>
          <w:szCs w:val="21"/>
        </w:rPr>
        <w:t>5%</w:t>
      </w:r>
      <w:r>
        <w:rPr>
          <w:szCs w:val="21"/>
        </w:rPr>
        <w:t>甲醇水溶液（甲醇</w:t>
      </w:r>
      <w:r>
        <w:rPr>
          <w:szCs w:val="21"/>
        </w:rPr>
        <w:t>/</w:t>
      </w:r>
      <w:r>
        <w:rPr>
          <w:szCs w:val="21"/>
        </w:rPr>
        <w:t>水</w:t>
      </w:r>
      <w:r>
        <w:rPr>
          <w:szCs w:val="21"/>
        </w:rPr>
        <w:t>=1</w:t>
      </w:r>
      <w:r>
        <w:rPr>
          <w:szCs w:val="21"/>
        </w:rPr>
        <w:t>：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V/V</w:t>
      </w:r>
      <w:r>
        <w:rPr>
          <w:szCs w:val="21"/>
        </w:rPr>
        <w:t>），按</w:t>
      </w:r>
      <w:r>
        <w:rPr>
          <w:szCs w:val="21"/>
        </w:rPr>
        <w:t>GB/T 6368</w:t>
      </w:r>
      <w:r>
        <w:rPr>
          <w:szCs w:val="21"/>
        </w:rPr>
        <w:t>中规定的方法测定。</w:t>
      </w:r>
    </w:p>
    <w:p w14:paraId="603EE46A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28" w:name="_Toc29146"/>
      <w:bookmarkStart w:id="29" w:name="_Toc522368182"/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.4</w:t>
      </w:r>
      <w:r>
        <w:rPr>
          <w:sz w:val="21"/>
          <w:szCs w:val="21"/>
        </w:rPr>
        <w:t>色泽</w:t>
      </w:r>
      <w:bookmarkEnd w:id="28"/>
      <w:bookmarkEnd w:id="29"/>
    </w:p>
    <w:p w14:paraId="67CDA89F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产品的色泽主要受原料的品质和生产工艺条件的影响，原料颜色越浅和生产工艺更具先进性，椰油酰胺甲基</w:t>
      </w:r>
      <w:r>
        <w:rPr>
          <w:szCs w:val="21"/>
        </w:rPr>
        <w:t xml:space="preserve"> MEA</w:t>
      </w:r>
      <w:r>
        <w:rPr>
          <w:szCs w:val="21"/>
        </w:rPr>
        <w:t>的颜色越浅。目前国内生产的</w:t>
      </w:r>
      <w:r>
        <w:rPr>
          <w:rFonts w:hint="eastAsia"/>
          <w:szCs w:val="21"/>
        </w:rPr>
        <w:t>优质</w:t>
      </w:r>
      <w:r>
        <w:rPr>
          <w:szCs w:val="21"/>
        </w:rPr>
        <w:t>椰油酰胺甲基</w:t>
      </w:r>
      <w:r>
        <w:rPr>
          <w:szCs w:val="21"/>
        </w:rPr>
        <w:t xml:space="preserve"> MEA</w:t>
      </w:r>
      <w:r>
        <w:rPr>
          <w:rFonts w:hint="eastAsia"/>
          <w:szCs w:val="21"/>
        </w:rPr>
        <w:t>的</w:t>
      </w:r>
      <w:r>
        <w:rPr>
          <w:szCs w:val="21"/>
        </w:rPr>
        <w:t>色泽</w:t>
      </w:r>
      <w:r>
        <w:rPr>
          <w:rFonts w:hint="eastAsia"/>
          <w:szCs w:val="21"/>
        </w:rPr>
        <w:t>控制</w:t>
      </w:r>
      <w:r>
        <w:rPr>
          <w:szCs w:val="21"/>
        </w:rPr>
        <w:t>在</w:t>
      </w:r>
      <w:r>
        <w:rPr>
          <w:rFonts w:hint="eastAsia"/>
          <w:szCs w:val="21"/>
        </w:rPr>
        <w:t>3</w:t>
      </w:r>
      <w:r>
        <w:rPr>
          <w:szCs w:val="21"/>
        </w:rPr>
        <w:t>00Hazen</w:t>
      </w:r>
      <w:r>
        <w:rPr>
          <w:szCs w:val="21"/>
        </w:rPr>
        <w:t>以内，</w:t>
      </w:r>
      <w:r>
        <w:rPr>
          <w:rFonts w:hint="eastAsia"/>
          <w:szCs w:val="21"/>
        </w:rPr>
        <w:t>而普通</w:t>
      </w:r>
      <w:r>
        <w:rPr>
          <w:szCs w:val="21"/>
        </w:rPr>
        <w:t>椰油酰胺甲基</w:t>
      </w:r>
      <w:r>
        <w:rPr>
          <w:szCs w:val="21"/>
        </w:rPr>
        <w:t xml:space="preserve"> MEA</w:t>
      </w:r>
      <w:r>
        <w:rPr>
          <w:rFonts w:hint="eastAsia"/>
          <w:szCs w:val="21"/>
        </w:rPr>
        <w:t>的</w:t>
      </w:r>
      <w:r>
        <w:rPr>
          <w:szCs w:val="21"/>
        </w:rPr>
        <w:t>色泽</w:t>
      </w:r>
      <w:r>
        <w:rPr>
          <w:rFonts w:hint="eastAsia"/>
          <w:szCs w:val="21"/>
        </w:rPr>
        <w:t>控制</w:t>
      </w:r>
      <w:r>
        <w:rPr>
          <w:szCs w:val="21"/>
        </w:rPr>
        <w:t>在</w:t>
      </w:r>
      <w:r>
        <w:rPr>
          <w:rFonts w:hint="eastAsia"/>
          <w:szCs w:val="21"/>
        </w:rPr>
        <w:t>5</w:t>
      </w:r>
      <w:r>
        <w:rPr>
          <w:szCs w:val="21"/>
        </w:rPr>
        <w:t>00Hazen</w:t>
      </w:r>
      <w:r>
        <w:rPr>
          <w:szCs w:val="21"/>
        </w:rPr>
        <w:t>以内</w:t>
      </w:r>
      <w:r>
        <w:rPr>
          <w:rFonts w:hint="eastAsia"/>
          <w:szCs w:val="21"/>
        </w:rPr>
        <w:t>。</w:t>
      </w:r>
      <w:r>
        <w:rPr>
          <w:szCs w:val="21"/>
        </w:rPr>
        <w:t>因此，本标准</w:t>
      </w:r>
      <w:r>
        <w:rPr>
          <w:rFonts w:hint="eastAsia"/>
          <w:szCs w:val="21"/>
        </w:rPr>
        <w:t>规定</w:t>
      </w:r>
      <w:r>
        <w:rPr>
          <w:szCs w:val="21"/>
        </w:rPr>
        <w:t>椰油酰胺甲基</w:t>
      </w:r>
      <w:r>
        <w:rPr>
          <w:szCs w:val="21"/>
        </w:rPr>
        <w:t xml:space="preserve"> MEA</w:t>
      </w:r>
      <w:r>
        <w:rPr>
          <w:szCs w:val="21"/>
        </w:rPr>
        <w:t>的色泽</w:t>
      </w:r>
      <w:r>
        <w:rPr>
          <w:rFonts w:hint="eastAsia"/>
          <w:szCs w:val="21"/>
        </w:rPr>
        <w:t>按质量等级分为优级品和合格品，规定优级品的色泽</w:t>
      </w:r>
      <w:r>
        <w:rPr>
          <w:szCs w:val="21"/>
        </w:rPr>
        <w:t>（</w:t>
      </w:r>
      <w:r>
        <w:rPr>
          <w:szCs w:val="21"/>
        </w:rPr>
        <w:t>Hazen</w:t>
      </w:r>
      <w:r>
        <w:rPr>
          <w:szCs w:val="21"/>
        </w:rPr>
        <w:t>）</w:t>
      </w:r>
      <w:r>
        <w:rPr>
          <w:szCs w:val="21"/>
        </w:rPr>
        <w:t>≤</w:t>
      </w:r>
      <w:r>
        <w:rPr>
          <w:rFonts w:hint="eastAsia"/>
          <w:szCs w:val="21"/>
        </w:rPr>
        <w:t>3</w:t>
      </w:r>
      <w:r>
        <w:rPr>
          <w:szCs w:val="21"/>
        </w:rPr>
        <w:t>00</w:t>
      </w:r>
      <w:r>
        <w:rPr>
          <w:rFonts w:hint="eastAsia"/>
          <w:szCs w:val="21"/>
        </w:rPr>
        <w:t>，合格品的色泽</w:t>
      </w:r>
      <w:r>
        <w:rPr>
          <w:szCs w:val="21"/>
        </w:rPr>
        <w:t>（</w:t>
      </w:r>
      <w:r>
        <w:rPr>
          <w:szCs w:val="21"/>
        </w:rPr>
        <w:t>Hazen</w:t>
      </w:r>
      <w:r>
        <w:rPr>
          <w:szCs w:val="21"/>
        </w:rPr>
        <w:t>）</w:t>
      </w:r>
      <w:r>
        <w:rPr>
          <w:szCs w:val="21"/>
        </w:rPr>
        <w:t>≤</w:t>
      </w:r>
      <w:r>
        <w:rPr>
          <w:rFonts w:hint="eastAsia"/>
          <w:szCs w:val="21"/>
        </w:rPr>
        <w:t>5</w:t>
      </w:r>
      <w:r>
        <w:rPr>
          <w:szCs w:val="21"/>
        </w:rPr>
        <w:t>00</w:t>
      </w:r>
      <w:r>
        <w:rPr>
          <w:szCs w:val="21"/>
          <w:lang w:val="fr-FR"/>
        </w:rPr>
        <w:t>。具体测试方法按</w:t>
      </w:r>
      <w:r>
        <w:rPr>
          <w:szCs w:val="21"/>
        </w:rPr>
        <w:t>GB/T 3143</w:t>
      </w:r>
      <w:r>
        <w:rPr>
          <w:szCs w:val="21"/>
        </w:rPr>
        <w:t>中规定的方法测定。</w:t>
      </w:r>
    </w:p>
    <w:p w14:paraId="57CACE1A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30" w:name="_Toc18785"/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5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胺值</w:t>
      </w:r>
      <w:bookmarkEnd w:id="30"/>
    </w:p>
    <w:p w14:paraId="1A519C55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胺值的测定原理：在规定条件下，中和</w:t>
      </w:r>
      <w:r>
        <w:rPr>
          <w:rFonts w:hint="eastAsia"/>
          <w:szCs w:val="21"/>
        </w:rPr>
        <w:t>1 g</w:t>
      </w:r>
      <w:r>
        <w:rPr>
          <w:rFonts w:hint="eastAsia"/>
          <w:szCs w:val="21"/>
        </w:rPr>
        <w:t>样品中的胺所消耗的盐酸相当的氢氧化钾的毫克数（</w:t>
      </w:r>
      <w:r>
        <w:rPr>
          <w:rFonts w:hint="eastAsia"/>
          <w:szCs w:val="21"/>
        </w:rPr>
        <w:t>mg/g</w:t>
      </w:r>
      <w:r>
        <w:rPr>
          <w:rFonts w:hint="eastAsia"/>
          <w:szCs w:val="21"/>
        </w:rPr>
        <w:t>），称为胺值。</w:t>
      </w:r>
    </w:p>
    <w:p w14:paraId="47E71709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产品中游离甲基单乙醇胺是生产原料的残余，游离胺呈弱碱性，对人体的皮肤具有一定的刺激作用，具体反应的体征过敏、刺痒、红肿等症状，胺值越大，说明产品中残留的游离胺也就越多，因此严格控制产品的胺值是保证产品质量的一个重要指标。目前，国内大部分生产企业对胺值（</w:t>
      </w:r>
      <w:r>
        <w:rPr>
          <w:szCs w:val="21"/>
        </w:rPr>
        <w:t>A</w:t>
      </w:r>
      <w:r>
        <w:rPr>
          <w:szCs w:val="21"/>
        </w:rPr>
        <w:t>）的规定</w:t>
      </w:r>
      <w:r>
        <w:rPr>
          <w:szCs w:val="21"/>
        </w:rPr>
        <w:t>≤15.0mgKOH/g</w:t>
      </w:r>
      <w:r>
        <w:rPr>
          <w:szCs w:val="21"/>
        </w:rPr>
        <w:t>，也有个别企业对胺值的规定</w:t>
      </w:r>
      <w:r>
        <w:rPr>
          <w:szCs w:val="21"/>
        </w:rPr>
        <w:t>≤30.0mgKOH/g</w:t>
      </w:r>
      <w:r>
        <w:rPr>
          <w:szCs w:val="21"/>
        </w:rPr>
        <w:t>，根据对收集到的样品进行检测，发现大部分样品的胺值控制</w:t>
      </w:r>
      <w:r>
        <w:rPr>
          <w:szCs w:val="21"/>
        </w:rPr>
        <w:t>≤10.0mgKOH/g</w:t>
      </w:r>
      <w:r>
        <w:rPr>
          <w:szCs w:val="21"/>
        </w:rPr>
        <w:t>，少部分样品的胺值</w:t>
      </w:r>
      <w:r>
        <w:rPr>
          <w:szCs w:val="21"/>
        </w:rPr>
        <w:t>10.0mgKOH/g≤A≤20.0mgKOH/g</w:t>
      </w:r>
      <w:r>
        <w:rPr>
          <w:szCs w:val="21"/>
        </w:rPr>
        <w:t>。因此，本标准规定椰油酰胺甲基</w:t>
      </w:r>
      <w:r>
        <w:rPr>
          <w:szCs w:val="21"/>
        </w:rPr>
        <w:t xml:space="preserve"> MEA</w:t>
      </w:r>
      <w:r>
        <w:rPr>
          <w:szCs w:val="21"/>
        </w:rPr>
        <w:t>的胺值按质量等级分为优级品和合格品，规定优级品的胺值</w:t>
      </w:r>
      <w:r>
        <w:rPr>
          <w:szCs w:val="21"/>
        </w:rPr>
        <w:t>≤10.0mgKOH/g</w:t>
      </w:r>
      <w:r>
        <w:rPr>
          <w:szCs w:val="21"/>
        </w:rPr>
        <w:t>，合格品的胺值</w:t>
      </w:r>
      <w:r>
        <w:rPr>
          <w:szCs w:val="21"/>
        </w:rPr>
        <w:t>≤20.0mgKOH/g</w:t>
      </w:r>
      <w:r>
        <w:rPr>
          <w:szCs w:val="21"/>
        </w:rPr>
        <w:t>。称取</w:t>
      </w:r>
      <w:r>
        <w:rPr>
          <w:szCs w:val="21"/>
        </w:rPr>
        <w:t>1.0 g</w:t>
      </w:r>
      <w:r>
        <w:rPr>
          <w:szCs w:val="21"/>
        </w:rPr>
        <w:t>试样，按</w:t>
      </w:r>
      <w:r>
        <w:rPr>
          <w:szCs w:val="21"/>
        </w:rPr>
        <w:t>GB/T 15046</w:t>
      </w:r>
      <w:r>
        <w:rPr>
          <w:szCs w:val="21"/>
        </w:rPr>
        <w:t>中规定的方法测定</w:t>
      </w:r>
      <w:bookmarkStart w:id="31" w:name="_Toc522368183"/>
      <w:r>
        <w:rPr>
          <w:szCs w:val="21"/>
        </w:rPr>
        <w:t>。</w:t>
      </w:r>
    </w:p>
    <w:p w14:paraId="076B89EB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甲酯</w:t>
      </w:r>
      <w:r>
        <w:rPr>
          <w:sz w:val="21"/>
          <w:szCs w:val="21"/>
        </w:rPr>
        <w:t>含量</w:t>
      </w:r>
    </w:p>
    <w:p w14:paraId="4396A116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甲酯是用于合成不含甘油型椰油酰胺甲基</w:t>
      </w:r>
      <w:r>
        <w:rPr>
          <w:rFonts w:hint="eastAsia"/>
          <w:szCs w:val="21"/>
        </w:rPr>
        <w:t xml:space="preserve"> MEA</w:t>
      </w:r>
      <w:r>
        <w:rPr>
          <w:rFonts w:hint="eastAsia"/>
          <w:szCs w:val="21"/>
        </w:rPr>
        <w:t>的原料脂肪酸</w:t>
      </w:r>
      <w:r>
        <w:rPr>
          <w:szCs w:val="21"/>
        </w:rPr>
        <w:t>甲酯，</w:t>
      </w:r>
      <w:r>
        <w:rPr>
          <w:rFonts w:hint="eastAsia"/>
          <w:szCs w:val="21"/>
        </w:rPr>
        <w:t>游离甲</w:t>
      </w:r>
      <w:r>
        <w:rPr>
          <w:szCs w:val="21"/>
        </w:rPr>
        <w:t>酯含量越高，说明</w:t>
      </w:r>
      <w:r>
        <w:rPr>
          <w:rFonts w:hint="eastAsia"/>
          <w:szCs w:val="21"/>
        </w:rPr>
        <w:t>脂肪酸甲酯的反应越不完全，而且游离甲酯的含量大小会影响最终产品的活性物含量和品质。</w:t>
      </w:r>
      <w:r>
        <w:rPr>
          <w:szCs w:val="21"/>
        </w:rPr>
        <w:t>因此，本标准规定椰油酰胺甲基</w:t>
      </w:r>
      <w:r>
        <w:rPr>
          <w:szCs w:val="21"/>
        </w:rPr>
        <w:t xml:space="preserve"> MEA</w:t>
      </w:r>
      <w:r>
        <w:rPr>
          <w:rFonts w:hint="eastAsia"/>
          <w:szCs w:val="21"/>
        </w:rPr>
        <w:t>的甲酯</w:t>
      </w:r>
      <w:r>
        <w:rPr>
          <w:szCs w:val="21"/>
        </w:rPr>
        <w:t>含量</w:t>
      </w:r>
      <w:r>
        <w:rPr>
          <w:rFonts w:hint="eastAsia"/>
          <w:szCs w:val="21"/>
        </w:rPr>
        <w:t>按质量等级分为优级品和合格品，规定优级品的甲酯含量</w:t>
      </w:r>
      <w:r>
        <w:rPr>
          <w:szCs w:val="21"/>
        </w:rPr>
        <w:t>≤</w:t>
      </w:r>
      <w:r>
        <w:rPr>
          <w:rFonts w:hint="eastAsia"/>
          <w:szCs w:val="21"/>
        </w:rPr>
        <w:t>2.0</w:t>
      </w:r>
      <w:r>
        <w:rPr>
          <w:szCs w:val="21"/>
        </w:rPr>
        <w:t>%</w:t>
      </w:r>
      <w:r>
        <w:rPr>
          <w:rFonts w:hint="eastAsia"/>
          <w:szCs w:val="21"/>
        </w:rPr>
        <w:t>，合格品的甲酯含量</w:t>
      </w:r>
      <w:r>
        <w:rPr>
          <w:szCs w:val="21"/>
        </w:rPr>
        <w:t>≤</w:t>
      </w:r>
      <w:r>
        <w:rPr>
          <w:rFonts w:hint="eastAsia"/>
          <w:szCs w:val="21"/>
        </w:rPr>
        <w:t>3.0</w:t>
      </w:r>
      <w:r>
        <w:rPr>
          <w:szCs w:val="21"/>
        </w:rPr>
        <w:t>%</w:t>
      </w:r>
      <w:r>
        <w:rPr>
          <w:szCs w:val="21"/>
        </w:rPr>
        <w:t>。具体测试方法</w:t>
      </w:r>
      <w:r>
        <w:rPr>
          <w:rFonts w:hint="eastAsia"/>
          <w:szCs w:val="21"/>
        </w:rPr>
        <w:t>按</w:t>
      </w:r>
      <w:r>
        <w:rPr>
          <w:rFonts w:hint="eastAsia"/>
          <w:szCs w:val="21"/>
        </w:rPr>
        <w:t>QB/T 8058</w:t>
      </w:r>
      <w:r>
        <w:rPr>
          <w:rFonts w:hint="eastAsia"/>
          <w:szCs w:val="21"/>
        </w:rPr>
        <w:t>中</w:t>
      </w:r>
      <w:r>
        <w:rPr>
          <w:rFonts w:hint="eastAsia"/>
          <w:szCs w:val="21"/>
        </w:rPr>
        <w:lastRenderedPageBreak/>
        <w:t>规定的方法测定。</w:t>
      </w:r>
    </w:p>
    <w:p w14:paraId="04AEA2FC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32" w:name="_Toc22369"/>
      <w:bookmarkStart w:id="33" w:name="OLE_LINK3"/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</w:t>
      </w:r>
      <w:bookmarkEnd w:id="31"/>
      <w:r>
        <w:rPr>
          <w:rFonts w:hint="eastAsia"/>
          <w:sz w:val="21"/>
          <w:szCs w:val="21"/>
        </w:rPr>
        <w:t>7</w:t>
      </w:r>
      <w:r>
        <w:rPr>
          <w:sz w:val="21"/>
          <w:szCs w:val="21"/>
        </w:rPr>
        <w:t>甘油含量</w:t>
      </w:r>
      <w:bookmarkEnd w:id="32"/>
    </w:p>
    <w:bookmarkEnd w:id="33"/>
    <w:p w14:paraId="3AAF56CB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甘油是椰子油</w:t>
      </w:r>
      <w:r>
        <w:rPr>
          <w:rFonts w:hint="eastAsia"/>
          <w:szCs w:val="21"/>
        </w:rPr>
        <w:t>或棕榈仁油</w:t>
      </w:r>
      <w:r>
        <w:rPr>
          <w:szCs w:val="21"/>
        </w:rPr>
        <w:t>与甲基单乙醇胺反应的产物，产品中甘油含量的多少，主要与</w:t>
      </w:r>
      <w:r>
        <w:rPr>
          <w:rFonts w:hint="eastAsia"/>
          <w:szCs w:val="21"/>
        </w:rPr>
        <w:t>原料</w:t>
      </w:r>
      <w:r>
        <w:rPr>
          <w:szCs w:val="21"/>
        </w:rPr>
        <w:t>和投料比有关，但产品中由</w:t>
      </w:r>
      <w:r>
        <w:rPr>
          <w:rFonts w:hint="eastAsia"/>
          <w:szCs w:val="21"/>
        </w:rPr>
        <w:t>油脂</w:t>
      </w:r>
      <w:r>
        <w:rPr>
          <w:szCs w:val="21"/>
        </w:rPr>
        <w:t>转化产生的甘油实际含量往往小于理论值。目前国内生产企业对该产品甘油含量的规定</w:t>
      </w:r>
      <w:r>
        <w:rPr>
          <w:szCs w:val="21"/>
        </w:rPr>
        <w:t>≤12</w:t>
      </w:r>
      <w:r>
        <w:rPr>
          <w:rFonts w:hint="eastAsia"/>
          <w:szCs w:val="21"/>
        </w:rPr>
        <w:t>.0</w:t>
      </w:r>
      <w:r>
        <w:rPr>
          <w:szCs w:val="21"/>
        </w:rPr>
        <w:t>%</w:t>
      </w:r>
      <w:r>
        <w:rPr>
          <w:szCs w:val="21"/>
        </w:rPr>
        <w:t>，根据对市场上的样品进行检测，发现各企业对甘油含量的控制都在</w:t>
      </w:r>
      <w:r>
        <w:rPr>
          <w:szCs w:val="21"/>
        </w:rPr>
        <w:t>9.0%~12</w:t>
      </w:r>
      <w:r>
        <w:rPr>
          <w:rFonts w:hint="eastAsia"/>
          <w:szCs w:val="21"/>
        </w:rPr>
        <w:t>.0</w:t>
      </w:r>
      <w:r>
        <w:rPr>
          <w:szCs w:val="21"/>
        </w:rPr>
        <w:t>%</w:t>
      </w:r>
      <w:r>
        <w:rPr>
          <w:szCs w:val="21"/>
        </w:rPr>
        <w:t>之间。</w:t>
      </w:r>
      <w:r>
        <w:rPr>
          <w:rFonts w:hint="eastAsia"/>
          <w:szCs w:val="21"/>
        </w:rPr>
        <w:t>我们采用</w:t>
      </w:r>
      <w:r>
        <w:rPr>
          <w:szCs w:val="21"/>
        </w:rPr>
        <w:t>GB/T 22328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GB/T 13216</w:t>
      </w:r>
      <w:r>
        <w:rPr>
          <w:rFonts w:hint="eastAsia"/>
          <w:szCs w:val="21"/>
        </w:rPr>
        <w:t>对甘油含量进行检测，发现同一个样品，其检测结果会有差别。因此，对两个方法进行加标回收实验，结果见表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：</w:t>
      </w:r>
    </w:p>
    <w:p w14:paraId="73A17AE4" w14:textId="77777777" w:rsidR="00ED2520" w:rsidRDefault="00000000">
      <w:pPr>
        <w:pStyle w:val="a0"/>
        <w:spacing w:after="0" w:line="360" w:lineRule="auto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表</w:t>
      </w:r>
      <w:r>
        <w:rPr>
          <w:rFonts w:hint="eastAsia"/>
          <w:sz w:val="18"/>
          <w:szCs w:val="18"/>
        </w:rPr>
        <w:t xml:space="preserve">1 </w:t>
      </w:r>
      <w:r>
        <w:rPr>
          <w:rFonts w:hint="eastAsia"/>
          <w:sz w:val="18"/>
          <w:szCs w:val="18"/>
        </w:rPr>
        <w:t>加标回收实验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34"/>
        <w:gridCol w:w="1149"/>
        <w:gridCol w:w="1152"/>
        <w:gridCol w:w="1152"/>
        <w:gridCol w:w="1152"/>
        <w:gridCol w:w="1152"/>
        <w:gridCol w:w="1411"/>
      </w:tblGrid>
      <w:tr w:rsidR="00ED2520" w14:paraId="3B78648B" w14:textId="77777777">
        <w:tc>
          <w:tcPr>
            <w:tcW w:w="1179" w:type="dxa"/>
            <w:vAlign w:val="center"/>
          </w:tcPr>
          <w:p w14:paraId="14F4722B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批次</w:t>
            </w:r>
          </w:p>
        </w:tc>
        <w:tc>
          <w:tcPr>
            <w:tcW w:w="1179" w:type="dxa"/>
            <w:vAlign w:val="center"/>
          </w:tcPr>
          <w:p w14:paraId="00CCA07C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检测方法</w:t>
            </w:r>
          </w:p>
        </w:tc>
        <w:tc>
          <w:tcPr>
            <w:tcW w:w="1179" w:type="dxa"/>
            <w:vAlign w:val="center"/>
          </w:tcPr>
          <w:p w14:paraId="453565C0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本底（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79" w:type="dxa"/>
            <w:vAlign w:val="center"/>
          </w:tcPr>
          <w:p w14:paraId="2C8D5324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加标量（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79" w:type="dxa"/>
            <w:vAlign w:val="center"/>
          </w:tcPr>
          <w:p w14:paraId="44BB4998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结果（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79" w:type="dxa"/>
            <w:vAlign w:val="center"/>
          </w:tcPr>
          <w:p w14:paraId="60032AED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回收率（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54" w:type="dxa"/>
            <w:vAlign w:val="center"/>
          </w:tcPr>
          <w:p w14:paraId="7492B6B6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平均回收率（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ED2520" w14:paraId="171F173D" w14:textId="77777777">
        <w:tc>
          <w:tcPr>
            <w:tcW w:w="1179" w:type="dxa"/>
            <w:vMerge w:val="restart"/>
            <w:vAlign w:val="center"/>
          </w:tcPr>
          <w:p w14:paraId="14B60F3A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批次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79" w:type="dxa"/>
            <w:vMerge w:val="restart"/>
            <w:vAlign w:val="center"/>
          </w:tcPr>
          <w:p w14:paraId="2772D8AC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22328</w:t>
            </w:r>
          </w:p>
        </w:tc>
        <w:tc>
          <w:tcPr>
            <w:tcW w:w="1179" w:type="dxa"/>
            <w:vMerge w:val="restart"/>
            <w:vAlign w:val="center"/>
          </w:tcPr>
          <w:p w14:paraId="7BEF0597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9.67</w:t>
            </w:r>
          </w:p>
        </w:tc>
        <w:tc>
          <w:tcPr>
            <w:tcW w:w="1179" w:type="dxa"/>
            <w:vAlign w:val="center"/>
          </w:tcPr>
          <w:p w14:paraId="1BB65A28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4.81</w:t>
            </w:r>
          </w:p>
        </w:tc>
        <w:tc>
          <w:tcPr>
            <w:tcW w:w="1179" w:type="dxa"/>
            <w:vAlign w:val="center"/>
          </w:tcPr>
          <w:p w14:paraId="3DAD8460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14.36</w:t>
            </w:r>
          </w:p>
        </w:tc>
        <w:tc>
          <w:tcPr>
            <w:tcW w:w="1179" w:type="dxa"/>
            <w:vAlign w:val="center"/>
          </w:tcPr>
          <w:p w14:paraId="44BC3A88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97.51</w:t>
            </w:r>
          </w:p>
        </w:tc>
        <w:tc>
          <w:tcPr>
            <w:tcW w:w="1454" w:type="dxa"/>
            <w:vMerge w:val="restart"/>
            <w:vAlign w:val="center"/>
          </w:tcPr>
          <w:p w14:paraId="041E3D37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96.52</w:t>
            </w:r>
          </w:p>
        </w:tc>
      </w:tr>
      <w:tr w:rsidR="00ED2520" w14:paraId="03A05E39" w14:textId="77777777">
        <w:tc>
          <w:tcPr>
            <w:tcW w:w="1179" w:type="dxa"/>
            <w:vMerge/>
            <w:vAlign w:val="center"/>
          </w:tcPr>
          <w:p w14:paraId="1ECB31BD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743FEA70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5311AF2A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6879CE6C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6.50</w:t>
            </w:r>
          </w:p>
        </w:tc>
        <w:tc>
          <w:tcPr>
            <w:tcW w:w="1179" w:type="dxa"/>
            <w:vAlign w:val="center"/>
          </w:tcPr>
          <w:p w14:paraId="23F10238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15.83</w:t>
            </w:r>
          </w:p>
        </w:tc>
        <w:tc>
          <w:tcPr>
            <w:tcW w:w="1179" w:type="dxa"/>
            <w:vAlign w:val="center"/>
          </w:tcPr>
          <w:p w14:paraId="6FEED0EB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94.77</w:t>
            </w:r>
          </w:p>
        </w:tc>
        <w:tc>
          <w:tcPr>
            <w:tcW w:w="1454" w:type="dxa"/>
            <w:vMerge/>
            <w:vAlign w:val="center"/>
          </w:tcPr>
          <w:p w14:paraId="37D1B883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D2520" w14:paraId="070F9FB3" w14:textId="77777777">
        <w:tc>
          <w:tcPr>
            <w:tcW w:w="1179" w:type="dxa"/>
            <w:vMerge/>
            <w:vAlign w:val="center"/>
          </w:tcPr>
          <w:p w14:paraId="3A4B6203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78FBD47E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7013E9F2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4702D2A3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9.48</w:t>
            </w:r>
          </w:p>
        </w:tc>
        <w:tc>
          <w:tcPr>
            <w:tcW w:w="1179" w:type="dxa"/>
            <w:vAlign w:val="center"/>
          </w:tcPr>
          <w:p w14:paraId="52579C71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18.86</w:t>
            </w:r>
          </w:p>
        </w:tc>
        <w:tc>
          <w:tcPr>
            <w:tcW w:w="1179" w:type="dxa"/>
            <w:vAlign w:val="center"/>
          </w:tcPr>
          <w:p w14:paraId="0619841B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96.94</w:t>
            </w:r>
          </w:p>
        </w:tc>
        <w:tc>
          <w:tcPr>
            <w:tcW w:w="1454" w:type="dxa"/>
            <w:vMerge/>
            <w:vAlign w:val="center"/>
          </w:tcPr>
          <w:p w14:paraId="1BEDA640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D2520" w14:paraId="05CBCCB6" w14:textId="77777777">
        <w:tc>
          <w:tcPr>
            <w:tcW w:w="1179" w:type="dxa"/>
            <w:vMerge/>
            <w:vAlign w:val="center"/>
          </w:tcPr>
          <w:p w14:paraId="7D6E3D36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092F40C0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74D3AA3D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7736D19B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9.62</w:t>
            </w:r>
          </w:p>
        </w:tc>
        <w:tc>
          <w:tcPr>
            <w:tcW w:w="1179" w:type="dxa"/>
            <w:vAlign w:val="center"/>
          </w:tcPr>
          <w:p w14:paraId="0D14136F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18.98</w:t>
            </w:r>
          </w:p>
        </w:tc>
        <w:tc>
          <w:tcPr>
            <w:tcW w:w="1179" w:type="dxa"/>
            <w:vAlign w:val="center"/>
          </w:tcPr>
          <w:p w14:paraId="563A40FF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96.77</w:t>
            </w:r>
          </w:p>
        </w:tc>
        <w:tc>
          <w:tcPr>
            <w:tcW w:w="1454" w:type="dxa"/>
            <w:vMerge/>
            <w:vAlign w:val="center"/>
          </w:tcPr>
          <w:p w14:paraId="13DC4EE8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D2520" w14:paraId="02968D2C" w14:textId="77777777">
        <w:tc>
          <w:tcPr>
            <w:tcW w:w="1179" w:type="dxa"/>
            <w:vMerge/>
            <w:vAlign w:val="center"/>
          </w:tcPr>
          <w:p w14:paraId="76791EF5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1FA589BA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2CA16DA0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47F770C9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9.73</w:t>
            </w:r>
          </w:p>
        </w:tc>
        <w:tc>
          <w:tcPr>
            <w:tcW w:w="1179" w:type="dxa"/>
            <w:vAlign w:val="center"/>
          </w:tcPr>
          <w:p w14:paraId="7AAEAACE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19.07</w:t>
            </w:r>
          </w:p>
        </w:tc>
        <w:tc>
          <w:tcPr>
            <w:tcW w:w="1179" w:type="dxa"/>
            <w:vAlign w:val="center"/>
          </w:tcPr>
          <w:p w14:paraId="19DB8E3C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96.61</w:t>
            </w:r>
          </w:p>
        </w:tc>
        <w:tc>
          <w:tcPr>
            <w:tcW w:w="1454" w:type="dxa"/>
            <w:vMerge/>
            <w:vAlign w:val="center"/>
          </w:tcPr>
          <w:p w14:paraId="16EC4EC5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D2520" w14:paraId="18CECDAD" w14:textId="77777777">
        <w:tc>
          <w:tcPr>
            <w:tcW w:w="1179" w:type="dxa"/>
            <w:vMerge/>
            <w:vAlign w:val="center"/>
          </w:tcPr>
          <w:p w14:paraId="64B28DE6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vAlign w:val="center"/>
          </w:tcPr>
          <w:p w14:paraId="30FAA43F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13216</w:t>
            </w:r>
          </w:p>
        </w:tc>
        <w:tc>
          <w:tcPr>
            <w:tcW w:w="1179" w:type="dxa"/>
            <w:vMerge w:val="restart"/>
            <w:vAlign w:val="center"/>
          </w:tcPr>
          <w:p w14:paraId="1A7BE0C0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10.13</w:t>
            </w:r>
          </w:p>
        </w:tc>
        <w:tc>
          <w:tcPr>
            <w:tcW w:w="1179" w:type="dxa"/>
            <w:vAlign w:val="center"/>
          </w:tcPr>
          <w:p w14:paraId="1D69F3C1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4.81</w:t>
            </w:r>
          </w:p>
        </w:tc>
        <w:tc>
          <w:tcPr>
            <w:tcW w:w="1179" w:type="dxa"/>
            <w:vAlign w:val="center"/>
          </w:tcPr>
          <w:p w14:paraId="04B8E9F7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14.69</w:t>
            </w:r>
          </w:p>
        </w:tc>
        <w:tc>
          <w:tcPr>
            <w:tcW w:w="1179" w:type="dxa"/>
            <w:vAlign w:val="center"/>
          </w:tcPr>
          <w:p w14:paraId="44F45AB5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94.80</w:t>
            </w:r>
          </w:p>
        </w:tc>
        <w:tc>
          <w:tcPr>
            <w:tcW w:w="1454" w:type="dxa"/>
            <w:vMerge w:val="restart"/>
            <w:vAlign w:val="center"/>
          </w:tcPr>
          <w:p w14:paraId="6D48B183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93.87</w:t>
            </w:r>
          </w:p>
        </w:tc>
      </w:tr>
      <w:tr w:rsidR="00ED2520" w14:paraId="642E8E44" w14:textId="77777777">
        <w:tc>
          <w:tcPr>
            <w:tcW w:w="1179" w:type="dxa"/>
            <w:vMerge/>
            <w:vAlign w:val="center"/>
          </w:tcPr>
          <w:p w14:paraId="50B52CA7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517EF575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0E9B6DD6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7BD16688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6.50</w:t>
            </w:r>
          </w:p>
        </w:tc>
        <w:tc>
          <w:tcPr>
            <w:tcW w:w="1179" w:type="dxa"/>
            <w:vAlign w:val="center"/>
          </w:tcPr>
          <w:p w14:paraId="2B576DA9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16.18</w:t>
            </w:r>
          </w:p>
        </w:tc>
        <w:tc>
          <w:tcPr>
            <w:tcW w:w="1179" w:type="dxa"/>
            <w:vAlign w:val="center"/>
          </w:tcPr>
          <w:p w14:paraId="5416C8C8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93.08</w:t>
            </w:r>
          </w:p>
        </w:tc>
        <w:tc>
          <w:tcPr>
            <w:tcW w:w="1454" w:type="dxa"/>
            <w:vMerge/>
            <w:vAlign w:val="center"/>
          </w:tcPr>
          <w:p w14:paraId="09217913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D2520" w14:paraId="449A3F9A" w14:textId="77777777">
        <w:tc>
          <w:tcPr>
            <w:tcW w:w="1179" w:type="dxa"/>
            <w:vMerge/>
            <w:vAlign w:val="center"/>
          </w:tcPr>
          <w:p w14:paraId="6914A1AA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578AE43A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06626D60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090AA95C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9.48</w:t>
            </w:r>
          </w:p>
        </w:tc>
        <w:tc>
          <w:tcPr>
            <w:tcW w:w="1179" w:type="dxa"/>
            <w:vAlign w:val="center"/>
          </w:tcPr>
          <w:p w14:paraId="790FEBB6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18.91</w:t>
            </w:r>
          </w:p>
        </w:tc>
        <w:tc>
          <w:tcPr>
            <w:tcW w:w="1179" w:type="dxa"/>
            <w:vAlign w:val="center"/>
          </w:tcPr>
          <w:p w14:paraId="72D29548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92.62</w:t>
            </w:r>
          </w:p>
        </w:tc>
        <w:tc>
          <w:tcPr>
            <w:tcW w:w="1454" w:type="dxa"/>
            <w:vMerge/>
            <w:vAlign w:val="center"/>
          </w:tcPr>
          <w:p w14:paraId="13B5E837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D2520" w14:paraId="6E587D55" w14:textId="77777777">
        <w:tc>
          <w:tcPr>
            <w:tcW w:w="1179" w:type="dxa"/>
            <w:vMerge/>
            <w:vAlign w:val="center"/>
          </w:tcPr>
          <w:p w14:paraId="6C86C492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092FF5C6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0FF47397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30032659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9.62</w:t>
            </w:r>
          </w:p>
        </w:tc>
        <w:tc>
          <w:tcPr>
            <w:tcW w:w="1179" w:type="dxa"/>
            <w:vAlign w:val="center"/>
          </w:tcPr>
          <w:p w14:paraId="03E2EA8B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19.22</w:t>
            </w:r>
          </w:p>
        </w:tc>
        <w:tc>
          <w:tcPr>
            <w:tcW w:w="1179" w:type="dxa"/>
            <w:vAlign w:val="center"/>
          </w:tcPr>
          <w:p w14:paraId="334C918A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94.49</w:t>
            </w:r>
          </w:p>
        </w:tc>
        <w:tc>
          <w:tcPr>
            <w:tcW w:w="1454" w:type="dxa"/>
            <w:vMerge/>
            <w:vAlign w:val="center"/>
          </w:tcPr>
          <w:p w14:paraId="1B783A12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D2520" w14:paraId="47BAEE85" w14:textId="77777777">
        <w:tc>
          <w:tcPr>
            <w:tcW w:w="1179" w:type="dxa"/>
            <w:vMerge/>
            <w:vAlign w:val="center"/>
          </w:tcPr>
          <w:p w14:paraId="53CD19F1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7E691A53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2123D1F3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763A0B0D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9.73</w:t>
            </w:r>
          </w:p>
        </w:tc>
        <w:tc>
          <w:tcPr>
            <w:tcW w:w="1179" w:type="dxa"/>
            <w:vAlign w:val="center"/>
          </w:tcPr>
          <w:p w14:paraId="2BC6DF45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19.31</w:t>
            </w:r>
          </w:p>
        </w:tc>
        <w:tc>
          <w:tcPr>
            <w:tcW w:w="1179" w:type="dxa"/>
            <w:vAlign w:val="center"/>
          </w:tcPr>
          <w:p w14:paraId="07702320" w14:textId="77777777" w:rsidR="00ED2520" w:rsidRDefault="0000000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94.35</w:t>
            </w:r>
          </w:p>
        </w:tc>
        <w:tc>
          <w:tcPr>
            <w:tcW w:w="1454" w:type="dxa"/>
            <w:vMerge/>
            <w:vAlign w:val="center"/>
          </w:tcPr>
          <w:p w14:paraId="740039EB" w14:textId="77777777" w:rsidR="00ED2520" w:rsidRDefault="00ED2520">
            <w:pPr>
              <w:pStyle w:val="a0"/>
              <w:spacing w:after="0" w:line="360" w:lineRule="auto"/>
              <w:jc w:val="center"/>
              <w:rPr>
                <w:sz w:val="18"/>
                <w:szCs w:val="18"/>
              </w:rPr>
            </w:pPr>
          </w:p>
        </w:tc>
      </w:tr>
    </w:tbl>
    <w:p w14:paraId="695D51C9" w14:textId="77777777" w:rsidR="00ED2520" w:rsidRDefault="00000000">
      <w:pPr>
        <w:pStyle w:val="a0"/>
        <w:spacing w:after="0"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由表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对比得出，</w:t>
      </w:r>
      <w:r>
        <w:rPr>
          <w:rFonts w:hint="eastAsia"/>
          <w:szCs w:val="21"/>
        </w:rPr>
        <w:t>GB/T 22328</w:t>
      </w:r>
      <w:r>
        <w:rPr>
          <w:rFonts w:hint="eastAsia"/>
          <w:szCs w:val="21"/>
        </w:rPr>
        <w:t>检测甘油的加标平均回收率高于</w:t>
      </w:r>
      <w:r>
        <w:rPr>
          <w:rFonts w:hint="eastAsia"/>
          <w:szCs w:val="21"/>
        </w:rPr>
        <w:t>GB/T 13216</w:t>
      </w:r>
      <w:r>
        <w:rPr>
          <w:rFonts w:hint="eastAsia"/>
          <w:sz w:val="18"/>
          <w:szCs w:val="18"/>
        </w:rPr>
        <w:t>。</w:t>
      </w:r>
      <w:r>
        <w:rPr>
          <w:szCs w:val="21"/>
        </w:rPr>
        <w:t>因此，本标准规定椰油酰胺甲基</w:t>
      </w:r>
      <w:r>
        <w:rPr>
          <w:szCs w:val="21"/>
        </w:rPr>
        <w:t xml:space="preserve"> MEA</w:t>
      </w:r>
      <w:r>
        <w:rPr>
          <w:szCs w:val="21"/>
        </w:rPr>
        <w:t>产品中甘油含量</w:t>
      </w:r>
      <w:r>
        <w:rPr>
          <w:szCs w:val="21"/>
        </w:rPr>
        <w:t>≤12.0%</w:t>
      </w:r>
      <w:r>
        <w:rPr>
          <w:rFonts w:hint="eastAsia"/>
          <w:szCs w:val="21"/>
        </w:rPr>
        <w:t>，</w:t>
      </w:r>
      <w:r>
        <w:rPr>
          <w:szCs w:val="21"/>
        </w:rPr>
        <w:t>具体测试方法按</w:t>
      </w:r>
      <w:bookmarkStart w:id="34" w:name="OLE_LINK5"/>
      <w:r>
        <w:rPr>
          <w:szCs w:val="21"/>
        </w:rPr>
        <w:t>GB/T 22328</w:t>
      </w:r>
      <w:bookmarkEnd w:id="34"/>
      <w:r>
        <w:rPr>
          <w:szCs w:val="21"/>
        </w:rPr>
        <w:t>中规定的方法测定</w:t>
      </w:r>
      <w:r>
        <w:t>。</w:t>
      </w:r>
    </w:p>
    <w:p w14:paraId="3C177452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35" w:name="_Toc522368184"/>
      <w:bookmarkStart w:id="36" w:name="_Toc21651"/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</w:t>
      </w:r>
      <w:bookmarkEnd w:id="35"/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>水分含量</w:t>
      </w:r>
      <w:bookmarkEnd w:id="36"/>
    </w:p>
    <w:p w14:paraId="6AD641A2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color w:val="FF0000"/>
          <w:szCs w:val="21"/>
        </w:rPr>
      </w:pPr>
      <w:r>
        <w:rPr>
          <w:szCs w:val="21"/>
        </w:rPr>
        <w:t>产品中的水</w:t>
      </w:r>
      <w:r>
        <w:rPr>
          <w:rFonts w:hint="eastAsia"/>
          <w:szCs w:val="21"/>
        </w:rPr>
        <w:t>分</w:t>
      </w:r>
      <w:r>
        <w:rPr>
          <w:szCs w:val="21"/>
        </w:rPr>
        <w:t>主要来源于生产原料</w:t>
      </w:r>
      <w:r>
        <w:rPr>
          <w:rFonts w:ascii="宋体" w:hAnsi="宋体" w:cs="宋体" w:hint="eastAsia"/>
        </w:rPr>
        <w:t>和副产物</w:t>
      </w:r>
      <w:r>
        <w:rPr>
          <w:szCs w:val="21"/>
        </w:rPr>
        <w:t>产生</w:t>
      </w:r>
      <w:r>
        <w:rPr>
          <w:rFonts w:hint="eastAsia"/>
          <w:szCs w:val="21"/>
        </w:rPr>
        <w:t>的</w:t>
      </w:r>
      <w:r>
        <w:rPr>
          <w:szCs w:val="21"/>
        </w:rPr>
        <w:t>水。</w:t>
      </w:r>
      <w:r>
        <w:rPr>
          <w:rFonts w:hint="eastAsia"/>
          <w:szCs w:val="21"/>
        </w:rPr>
        <w:t>由于生产过程的工艺处理，</w:t>
      </w:r>
      <w:r>
        <w:rPr>
          <w:szCs w:val="21"/>
        </w:rPr>
        <w:t>正常情况下，</w:t>
      </w:r>
      <w:r>
        <w:rPr>
          <w:rFonts w:hint="eastAsia"/>
          <w:szCs w:val="21"/>
        </w:rPr>
        <w:t>椰油酰胺甲基</w:t>
      </w:r>
      <w:r>
        <w:rPr>
          <w:rFonts w:hint="eastAsia"/>
          <w:szCs w:val="21"/>
        </w:rPr>
        <w:t xml:space="preserve"> MEA</w:t>
      </w:r>
      <w:r>
        <w:rPr>
          <w:szCs w:val="21"/>
        </w:rPr>
        <w:t>中的水分</w:t>
      </w:r>
      <w:r>
        <w:rPr>
          <w:rFonts w:hint="eastAsia"/>
          <w:szCs w:val="21"/>
        </w:rPr>
        <w:t>控制</w:t>
      </w:r>
      <w:r>
        <w:rPr>
          <w:szCs w:val="21"/>
        </w:rPr>
        <w:t>在</w:t>
      </w:r>
      <w:r>
        <w:rPr>
          <w:szCs w:val="21"/>
        </w:rPr>
        <w:t>0.</w:t>
      </w:r>
      <w:r>
        <w:rPr>
          <w:rFonts w:hint="eastAsia"/>
          <w:szCs w:val="21"/>
        </w:rPr>
        <w:t>05</w:t>
      </w:r>
      <w:r>
        <w:rPr>
          <w:szCs w:val="21"/>
        </w:rPr>
        <w:t>%~</w:t>
      </w:r>
      <w:r>
        <w:rPr>
          <w:rFonts w:hint="eastAsia"/>
          <w:szCs w:val="21"/>
        </w:rPr>
        <w:t>0.8</w:t>
      </w:r>
      <w:r>
        <w:rPr>
          <w:szCs w:val="21"/>
        </w:rPr>
        <w:t>%</w:t>
      </w:r>
      <w:r>
        <w:rPr>
          <w:szCs w:val="21"/>
        </w:rPr>
        <w:t>之间。因此，本标准规定椰油酰胺甲基</w:t>
      </w:r>
      <w:r>
        <w:rPr>
          <w:szCs w:val="21"/>
        </w:rPr>
        <w:t xml:space="preserve"> MEA</w:t>
      </w:r>
      <w:r>
        <w:rPr>
          <w:rFonts w:hint="eastAsia"/>
          <w:szCs w:val="21"/>
        </w:rPr>
        <w:t>的</w:t>
      </w:r>
      <w:r>
        <w:rPr>
          <w:szCs w:val="21"/>
        </w:rPr>
        <w:t>水</w:t>
      </w:r>
      <w:r>
        <w:rPr>
          <w:rFonts w:hint="eastAsia"/>
          <w:szCs w:val="21"/>
        </w:rPr>
        <w:t>分</w:t>
      </w:r>
      <w:r>
        <w:rPr>
          <w:szCs w:val="21"/>
        </w:rPr>
        <w:t>含量</w:t>
      </w:r>
      <w:r>
        <w:rPr>
          <w:rFonts w:hint="eastAsia"/>
          <w:szCs w:val="21"/>
        </w:rPr>
        <w:t>按质量等级分为优级品和合格品，规定优级品的水分含量</w:t>
      </w:r>
      <w:r>
        <w:rPr>
          <w:szCs w:val="21"/>
        </w:rPr>
        <w:t>≤0.5%</w:t>
      </w:r>
      <w:r>
        <w:rPr>
          <w:rFonts w:hint="eastAsia"/>
          <w:szCs w:val="21"/>
        </w:rPr>
        <w:t>，合格品的水分含量</w:t>
      </w:r>
      <w:r>
        <w:rPr>
          <w:szCs w:val="21"/>
        </w:rPr>
        <w:t>≤</w:t>
      </w:r>
      <w:r>
        <w:rPr>
          <w:rFonts w:hint="eastAsia"/>
          <w:szCs w:val="21"/>
        </w:rPr>
        <w:t>1.0</w:t>
      </w:r>
      <w:r>
        <w:rPr>
          <w:szCs w:val="21"/>
        </w:rPr>
        <w:t>%</w:t>
      </w:r>
      <w:r>
        <w:rPr>
          <w:szCs w:val="21"/>
        </w:rPr>
        <w:t>。具体测试方法按</w:t>
      </w:r>
      <w:r>
        <w:t>GB/T 11275</w:t>
      </w:r>
      <w:r>
        <w:t>中规定的方法测定。</w:t>
      </w:r>
    </w:p>
    <w:p w14:paraId="38A0C782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bookmarkStart w:id="37" w:name="_Toc30870"/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9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活性物含量</w:t>
      </w:r>
      <w:bookmarkEnd w:id="37"/>
    </w:p>
    <w:p w14:paraId="0B12902F" w14:textId="77777777" w:rsidR="00ED2520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活性物视同于产品的有效物，可以根据活性物含量的大小来判断该产品的有效成分</w:t>
      </w:r>
      <w:r>
        <w:rPr>
          <w:szCs w:val="21"/>
          <w:lang w:val="fr-FR"/>
        </w:rPr>
        <w:t>。</w:t>
      </w:r>
      <w:r>
        <w:rPr>
          <w:szCs w:val="21"/>
        </w:rPr>
        <w:t>活</w:t>
      </w:r>
      <w:r>
        <w:rPr>
          <w:szCs w:val="21"/>
        </w:rPr>
        <w:lastRenderedPageBreak/>
        <w:t>性物含量越高，产品质量越好。因此，本标准规定椰油酰胺甲基</w:t>
      </w:r>
      <w:r>
        <w:rPr>
          <w:szCs w:val="21"/>
        </w:rPr>
        <w:t xml:space="preserve"> MEA</w:t>
      </w:r>
      <w:r>
        <w:rPr>
          <w:szCs w:val="21"/>
        </w:rPr>
        <w:t>的活性物含量按质量等级分为优级品和合格品。</w:t>
      </w:r>
    </w:p>
    <w:p w14:paraId="62321943" w14:textId="77777777" w:rsidR="00ED2520" w:rsidRDefault="00000000">
      <w:pPr>
        <w:spacing w:line="360" w:lineRule="auto"/>
        <w:ind w:firstLineChars="200" w:firstLine="420"/>
      </w:pPr>
      <w:r>
        <w:t>A</w:t>
      </w:r>
      <w:r>
        <w:t>型：不含甘油型椰油酰胺甲基</w:t>
      </w:r>
      <w:r>
        <w:t xml:space="preserve"> MEA</w:t>
      </w:r>
      <w:r>
        <w:t>，</w:t>
      </w:r>
      <w:r>
        <w:rPr>
          <w:szCs w:val="21"/>
        </w:rPr>
        <w:t>规定其优级品的活性物含量</w:t>
      </w:r>
      <w:r>
        <w:rPr>
          <w:szCs w:val="21"/>
        </w:rPr>
        <w:t>≥93.0%</w:t>
      </w:r>
      <w:r>
        <w:rPr>
          <w:szCs w:val="21"/>
        </w:rPr>
        <w:t>，合格品的活性物含量</w:t>
      </w:r>
      <w:r>
        <w:rPr>
          <w:szCs w:val="21"/>
        </w:rPr>
        <w:t>≥90.0%</w:t>
      </w:r>
      <w:r>
        <w:rPr>
          <w:szCs w:val="21"/>
        </w:rPr>
        <w:t>。活性物含量的测定采用化学扣减法，</w:t>
      </w:r>
      <w:r>
        <w:t>按式（</w:t>
      </w:r>
      <w:r>
        <w:rPr>
          <w:rFonts w:hint="eastAsia"/>
        </w:rPr>
        <w:t>1</w:t>
      </w:r>
      <w:r>
        <w:t>）计算：</w:t>
      </w:r>
    </w:p>
    <w:p w14:paraId="37001667" w14:textId="77777777" w:rsidR="00ED2520" w:rsidRDefault="00000000">
      <w:pPr>
        <w:jc w:val="center"/>
        <w:rPr>
          <w:rFonts w:ascii="宋体" w:hAnsi="宋体" w:hint="eastAsia"/>
        </w:rPr>
      </w:pPr>
      <w:r>
        <w:rPr>
          <w:rFonts w:ascii="宋体" w:hAnsi="宋体"/>
          <w:color w:val="FF0000"/>
          <w:position w:val="-12"/>
        </w:rPr>
        <w:object w:dxaOrig="4704" w:dyaOrig="348" w14:anchorId="2D2A66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2pt;height:17.4pt" o:ole="">
            <v:imagedata r:id="rId8" o:title=""/>
          </v:shape>
          <o:OLEObject Type="Embed" ProgID="Equation.3" ShapeID="_x0000_i1025" DrawAspect="Content" ObjectID="_1849764410" r:id="rId9"/>
        </w:object>
      </w:r>
      <w:r>
        <w:rPr>
          <w:rFonts w:ascii="宋体" w:hAnsi="宋体"/>
        </w:rPr>
        <w:t>…………………………</w:t>
      </w:r>
      <w:r>
        <w:rPr>
          <w:rFonts w:ascii="宋体" w:hAnsi="宋体" w:cs="宋体" w:hint="eastAsia"/>
        </w:rPr>
        <w:t>（1）</w:t>
      </w:r>
    </w:p>
    <w:p w14:paraId="196838F3" w14:textId="77777777" w:rsidR="00ED2520" w:rsidRDefault="00000000">
      <w:pPr>
        <w:pStyle w:val="af2"/>
      </w:pPr>
      <w:r>
        <w:rPr>
          <w:rFonts w:hint="eastAsia"/>
        </w:rPr>
        <w:t>式中：</w:t>
      </w:r>
    </w:p>
    <w:p w14:paraId="4E5D7959" w14:textId="77777777" w:rsidR="00ED2520" w:rsidRDefault="00000000">
      <w:pPr>
        <w:spacing w:line="320" w:lineRule="exact"/>
        <w:ind w:firstLineChars="200" w:firstLine="420"/>
      </w:pPr>
      <w:r>
        <w:rPr>
          <w:i/>
          <w:iCs/>
        </w:rPr>
        <w:t>A</w:t>
      </w:r>
      <w:r>
        <w:t>——</w:t>
      </w:r>
      <w:r>
        <w:t>试样的胺值，单位为毫克每克（</w:t>
      </w:r>
      <w:r>
        <w:t>mg/g</w:t>
      </w:r>
      <w:r>
        <w:t>）；</w:t>
      </w:r>
    </w:p>
    <w:p w14:paraId="73053893" w14:textId="77777777" w:rsidR="00ED2520" w:rsidRDefault="00000000">
      <w:pPr>
        <w:spacing w:line="320" w:lineRule="exact"/>
        <w:ind w:firstLineChars="200" w:firstLine="420"/>
      </w:pPr>
      <w:r>
        <w:t>0.</w:t>
      </w:r>
      <w:r>
        <w:rPr>
          <w:rFonts w:hint="eastAsia"/>
        </w:rPr>
        <w:t>00</w:t>
      </w:r>
      <w:r>
        <w:t>134——</w:t>
      </w:r>
      <w:r>
        <w:t>换算系数；</w:t>
      </w:r>
    </w:p>
    <w:p w14:paraId="2A58592A" w14:textId="77777777" w:rsidR="00ED2520" w:rsidRDefault="00000000">
      <w:pPr>
        <w:spacing w:line="320" w:lineRule="exact"/>
        <w:ind w:firstLineChars="200" w:firstLine="420"/>
      </w:pPr>
      <w:r>
        <w:rPr>
          <w:i/>
          <w:iCs/>
        </w:rPr>
        <w:t>X</w:t>
      </w:r>
      <w:r>
        <w:rPr>
          <w:i/>
          <w:iCs/>
          <w:vertAlign w:val="subscript"/>
        </w:rPr>
        <w:t>3</w:t>
      </w:r>
      <w:r>
        <w:t>——</w:t>
      </w:r>
      <w:r>
        <w:t>甲酯含量，单位为百分数（</w:t>
      </w:r>
      <w:r>
        <w:t>%</w:t>
      </w:r>
      <w:r>
        <w:t>；</w:t>
      </w:r>
    </w:p>
    <w:p w14:paraId="1A615A2E" w14:textId="77777777" w:rsidR="00ED2520" w:rsidRDefault="00000000">
      <w:pPr>
        <w:spacing w:line="320" w:lineRule="exact"/>
        <w:ind w:firstLineChars="200" w:firstLine="420"/>
      </w:pPr>
      <w:r>
        <w:rPr>
          <w:i/>
          <w:iCs/>
        </w:rPr>
        <w:t>X</w:t>
      </w:r>
      <w:r>
        <w:rPr>
          <w:i/>
          <w:iCs/>
          <w:vertAlign w:val="subscript"/>
        </w:rPr>
        <w:t>5</w:t>
      </w:r>
      <w:r>
        <w:t>——</w:t>
      </w:r>
      <w:r>
        <w:t>水分含量，单位为百分数（</w:t>
      </w:r>
      <w:r>
        <w:t>%</w:t>
      </w:r>
      <w:r>
        <w:t>）。</w:t>
      </w:r>
    </w:p>
    <w:p w14:paraId="23CD59D9" w14:textId="77777777" w:rsidR="00ED2520" w:rsidRDefault="00000000">
      <w:pPr>
        <w:pStyle w:val="a0"/>
        <w:spacing w:line="360" w:lineRule="auto"/>
        <w:ind w:firstLineChars="200" w:firstLine="420"/>
      </w:pPr>
      <w:r>
        <w:t>B</w:t>
      </w:r>
      <w:r>
        <w:t>型：</w:t>
      </w:r>
      <w:r>
        <w:rPr>
          <w:rFonts w:hint="eastAsia"/>
        </w:rPr>
        <w:t>含甘油型</w:t>
      </w:r>
      <w:r>
        <w:t>椰油酰胺甲基</w:t>
      </w:r>
      <w:r>
        <w:t xml:space="preserve"> MEA</w:t>
      </w:r>
      <w:r>
        <w:t>，</w:t>
      </w:r>
      <w:r>
        <w:rPr>
          <w:szCs w:val="21"/>
        </w:rPr>
        <w:t>规定其优级品的活性物含量</w:t>
      </w:r>
      <w:r>
        <w:rPr>
          <w:szCs w:val="21"/>
        </w:rPr>
        <w:t>≥86.0%</w:t>
      </w:r>
      <w:r>
        <w:rPr>
          <w:szCs w:val="21"/>
        </w:rPr>
        <w:t>，合格品的活性物含量</w:t>
      </w:r>
      <w:r>
        <w:rPr>
          <w:szCs w:val="21"/>
        </w:rPr>
        <w:t>≥84.0%</w:t>
      </w:r>
      <w:r>
        <w:rPr>
          <w:szCs w:val="21"/>
        </w:rPr>
        <w:t>。活性物含量的测定采用化学扣减法，</w:t>
      </w:r>
      <w:r>
        <w:t>按式（</w:t>
      </w:r>
      <w:r>
        <w:rPr>
          <w:rFonts w:hint="eastAsia"/>
        </w:rPr>
        <w:t>2</w:t>
      </w:r>
      <w:r>
        <w:t>）计算：</w:t>
      </w:r>
    </w:p>
    <w:bookmarkStart w:id="38" w:name="_Toc17973"/>
    <w:p w14:paraId="17FCAA15" w14:textId="77777777" w:rsidR="00ED2520" w:rsidRDefault="00000000">
      <w:pPr>
        <w:jc w:val="center"/>
        <w:rPr>
          <w:rFonts w:ascii="宋体" w:hAnsi="宋体" w:hint="eastAsia"/>
        </w:rPr>
      </w:pPr>
      <w:r>
        <w:rPr>
          <w:rFonts w:ascii="宋体" w:hAnsi="宋体"/>
          <w:color w:val="FF0000"/>
          <w:position w:val="-12"/>
        </w:rPr>
        <w:object w:dxaOrig="4637" w:dyaOrig="348" w14:anchorId="4E9EC548">
          <v:shape id="_x0000_i1026" type="#_x0000_t75" style="width:231.6pt;height:17.4pt" o:ole="">
            <v:imagedata r:id="rId10" o:title=""/>
          </v:shape>
          <o:OLEObject Type="Embed" ProgID="Equation.3" ShapeID="_x0000_i1026" DrawAspect="Content" ObjectID="_1849764411" r:id="rId11"/>
        </w:object>
      </w:r>
      <w:r>
        <w:rPr>
          <w:rFonts w:ascii="宋体" w:hAnsi="宋体"/>
        </w:rPr>
        <w:t>…………………………</w:t>
      </w:r>
      <w:r>
        <w:rPr>
          <w:rFonts w:ascii="宋体" w:hAnsi="宋体" w:cs="宋体" w:hint="eastAsia"/>
        </w:rPr>
        <w:t>（2）</w:t>
      </w:r>
    </w:p>
    <w:p w14:paraId="5315AFB6" w14:textId="77777777" w:rsidR="00ED2520" w:rsidRDefault="00000000">
      <w:pPr>
        <w:pStyle w:val="af2"/>
      </w:pPr>
      <w:r>
        <w:rPr>
          <w:rFonts w:hint="eastAsia"/>
        </w:rPr>
        <w:t>式中：</w:t>
      </w:r>
    </w:p>
    <w:p w14:paraId="0202A8EC" w14:textId="77777777" w:rsidR="00ED2520" w:rsidRDefault="00000000">
      <w:pPr>
        <w:spacing w:line="320" w:lineRule="exact"/>
        <w:ind w:firstLineChars="200" w:firstLine="420"/>
      </w:pPr>
      <w:r>
        <w:rPr>
          <w:i/>
          <w:iCs/>
        </w:rPr>
        <w:t>A</w:t>
      </w:r>
      <w:r>
        <w:t>——</w:t>
      </w:r>
      <w:r>
        <w:t>试样的胺值，单位为毫克每克（</w:t>
      </w:r>
      <w:r>
        <w:t>mg/g</w:t>
      </w:r>
      <w:r>
        <w:t>）；</w:t>
      </w:r>
    </w:p>
    <w:p w14:paraId="3B170402" w14:textId="77777777" w:rsidR="00ED2520" w:rsidRDefault="00000000">
      <w:pPr>
        <w:spacing w:line="320" w:lineRule="exact"/>
        <w:ind w:firstLineChars="200" w:firstLine="420"/>
      </w:pPr>
      <w:r>
        <w:t>0.</w:t>
      </w:r>
      <w:r>
        <w:rPr>
          <w:rFonts w:hint="eastAsia"/>
        </w:rPr>
        <w:t>00</w:t>
      </w:r>
      <w:r>
        <w:t>134——</w:t>
      </w:r>
      <w:r>
        <w:t>换算系数；</w:t>
      </w:r>
    </w:p>
    <w:p w14:paraId="7D0182E3" w14:textId="77777777" w:rsidR="00ED2520" w:rsidRDefault="00000000">
      <w:pPr>
        <w:pStyle w:val="af2"/>
        <w:rPr>
          <w:rFonts w:ascii="Times New Roman"/>
        </w:rPr>
      </w:pPr>
      <w:r>
        <w:rPr>
          <w:rFonts w:ascii="Times New Roman"/>
          <w:i/>
          <w:iCs/>
        </w:rPr>
        <w:t>X</w:t>
      </w:r>
      <w:r>
        <w:rPr>
          <w:rFonts w:ascii="Times New Roman"/>
          <w:i/>
          <w:iCs/>
          <w:vertAlign w:val="subscript"/>
        </w:rPr>
        <w:t>4</w:t>
      </w:r>
      <w:r>
        <w:rPr>
          <w:rFonts w:ascii="Times New Roman"/>
        </w:rPr>
        <w:t>——</w:t>
      </w:r>
      <w:r>
        <w:rPr>
          <w:rFonts w:ascii="Times New Roman"/>
        </w:rPr>
        <w:t>甘油含量，单位为百分数（</w:t>
      </w:r>
      <w:r>
        <w:rPr>
          <w:rFonts w:ascii="Times New Roman"/>
        </w:rPr>
        <w:t>%</w:t>
      </w:r>
      <w:r>
        <w:rPr>
          <w:rFonts w:ascii="Times New Roman"/>
        </w:rPr>
        <w:t>）；</w:t>
      </w:r>
    </w:p>
    <w:p w14:paraId="3E073E38" w14:textId="77777777" w:rsidR="00ED2520" w:rsidRDefault="00000000">
      <w:pPr>
        <w:pStyle w:val="af2"/>
        <w:rPr>
          <w:rFonts w:ascii="Times New Roman"/>
        </w:rPr>
      </w:pPr>
      <w:r>
        <w:rPr>
          <w:rFonts w:ascii="Times New Roman"/>
          <w:i/>
          <w:iCs/>
        </w:rPr>
        <w:t>X</w:t>
      </w:r>
      <w:r>
        <w:rPr>
          <w:rFonts w:ascii="Times New Roman"/>
          <w:i/>
          <w:iCs/>
          <w:vertAlign w:val="subscript"/>
        </w:rPr>
        <w:t>5</w:t>
      </w:r>
      <w:r>
        <w:rPr>
          <w:rFonts w:ascii="Times New Roman"/>
        </w:rPr>
        <w:t>——</w:t>
      </w:r>
      <w:r>
        <w:rPr>
          <w:rFonts w:ascii="Times New Roman"/>
        </w:rPr>
        <w:t>水分含量，单位为百分数（</w:t>
      </w:r>
      <w:r>
        <w:rPr>
          <w:rFonts w:ascii="Times New Roman"/>
        </w:rPr>
        <w:t>%</w:t>
      </w:r>
      <w:r>
        <w:rPr>
          <w:rFonts w:ascii="Times New Roman"/>
        </w:rPr>
        <w:t>）。</w:t>
      </w:r>
    </w:p>
    <w:p w14:paraId="36EAB8A5" w14:textId="77777777" w:rsidR="00ED2520" w:rsidRDefault="00000000">
      <w:pPr>
        <w:pStyle w:val="3"/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10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甲醇含量</w:t>
      </w:r>
      <w:bookmarkEnd w:id="38"/>
    </w:p>
    <w:p w14:paraId="65BA64A9" w14:textId="77777777" w:rsidR="00ED2520" w:rsidRDefault="00000000">
      <w:pPr>
        <w:pStyle w:val="af2"/>
        <w:spacing w:line="360" w:lineRule="auto"/>
        <w:rPr>
          <w:rFonts w:ascii="Times New Roman"/>
        </w:rPr>
      </w:pPr>
      <w:r>
        <w:rPr>
          <w:rFonts w:ascii="Times New Roman" w:hint="eastAsia"/>
        </w:rPr>
        <w:t>甲醇是一种有害物质，甲醇对人的中枢神经系统有明显麻醉作用，可引起脑水肿，对视神经及视网膜有特殊选择作用，引起视神经萎缩，导致双目失明。椰油酰胺甲基</w:t>
      </w:r>
      <w:r>
        <w:rPr>
          <w:rFonts w:ascii="Times New Roman" w:hint="eastAsia"/>
        </w:rPr>
        <w:t xml:space="preserve"> MEA</w:t>
      </w:r>
      <w:r>
        <w:rPr>
          <w:rFonts w:ascii="Times New Roman" w:hint="eastAsia"/>
        </w:rPr>
        <w:t>中的甲醇残留主要受生产原料和工艺的影响，化妆品规定产品中的有害物质甲醇含量不得大于</w:t>
      </w:r>
      <w:r>
        <w:rPr>
          <w:rFonts w:ascii="Times New Roman" w:hint="eastAsia"/>
        </w:rPr>
        <w:t>2000mg/kg</w:t>
      </w:r>
      <w:r>
        <w:rPr>
          <w:rFonts w:ascii="Times New Roman" w:hint="eastAsia"/>
        </w:rPr>
        <w:t>，而椰油酰胺甲基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MEA</w:t>
      </w:r>
      <w:r>
        <w:rPr>
          <w:rFonts w:ascii="Times New Roman"/>
        </w:rPr>
        <w:t>主要用于洗发香波、沐浴露、洗面奶等化妆品</w:t>
      </w:r>
      <w:r>
        <w:rPr>
          <w:rFonts w:ascii="Times New Roman" w:hint="eastAsia"/>
        </w:rPr>
        <w:t>中起到发泡稳泡</w:t>
      </w:r>
      <w:r>
        <w:rPr>
          <w:rFonts w:ascii="Times New Roman"/>
        </w:rPr>
        <w:t>、增稠等作用，有效控制椰油酰胺甲基</w:t>
      </w:r>
      <w:r>
        <w:rPr>
          <w:rFonts w:ascii="Times New Roman"/>
        </w:rPr>
        <w:t xml:space="preserve"> MEA</w:t>
      </w:r>
      <w:r>
        <w:rPr>
          <w:rFonts w:ascii="Times New Roman"/>
        </w:rPr>
        <w:t>中甲醇的残留，可有助于提高化妆品的质量，降低对人体的危害。因此，本标准规定椰油酰胺甲基</w:t>
      </w:r>
      <w:r>
        <w:rPr>
          <w:rFonts w:ascii="Times New Roman"/>
        </w:rPr>
        <w:t xml:space="preserve"> MEA</w:t>
      </w:r>
      <w:r>
        <w:rPr>
          <w:rFonts w:ascii="Times New Roman"/>
        </w:rPr>
        <w:t>中甲醇含量</w:t>
      </w:r>
      <w:r>
        <w:rPr>
          <w:rFonts w:ascii="Times New Roman"/>
        </w:rPr>
        <w:t>≤2000mg/kg</w:t>
      </w:r>
      <w:r>
        <w:rPr>
          <w:rFonts w:ascii="Times New Roman"/>
          <w:bCs/>
        </w:rPr>
        <w:t>。</w:t>
      </w:r>
      <w:r>
        <w:rPr>
          <w:rFonts w:ascii="Times New Roman"/>
          <w:szCs w:val="21"/>
        </w:rPr>
        <w:t>具体测试方法按</w:t>
      </w:r>
      <w:r>
        <w:rPr>
          <w:rFonts w:ascii="Times New Roman"/>
          <w:bCs/>
        </w:rPr>
        <w:t>GB/T 30795</w:t>
      </w:r>
      <w:r>
        <w:rPr>
          <w:rFonts w:ascii="Times New Roman"/>
          <w:szCs w:val="21"/>
        </w:rPr>
        <w:t>中规定的方法测定。</w:t>
      </w:r>
    </w:p>
    <w:p w14:paraId="3AB4959D" w14:textId="77777777" w:rsidR="00ED2520" w:rsidRDefault="00000000">
      <w:pPr>
        <w:pStyle w:val="2"/>
        <w:spacing w:before="0" w:after="0" w:line="360" w:lineRule="auto"/>
        <w:rPr>
          <w:rFonts w:ascii="Times New Roman" w:eastAsia="宋体" w:hAnsi="Times New Roman"/>
          <w:sz w:val="21"/>
          <w:szCs w:val="21"/>
        </w:rPr>
      </w:pPr>
      <w:bookmarkStart w:id="39" w:name="_Toc19218"/>
      <w:bookmarkStart w:id="40" w:name="_Toc522368187"/>
      <w:r>
        <w:rPr>
          <w:rFonts w:ascii="Times New Roman" w:eastAsia="宋体" w:hAnsi="Times New Roman" w:hint="eastAsia"/>
          <w:sz w:val="21"/>
          <w:szCs w:val="21"/>
        </w:rPr>
        <w:t>3</w:t>
      </w:r>
      <w:r>
        <w:rPr>
          <w:rFonts w:ascii="Times New Roman" w:eastAsia="宋体" w:hAnsi="Times New Roman" w:hint="eastAsia"/>
          <w:sz w:val="21"/>
          <w:szCs w:val="21"/>
        </w:rPr>
        <w:t>、</w:t>
      </w:r>
      <w:r>
        <w:rPr>
          <w:rFonts w:ascii="Times New Roman" w:eastAsia="宋体" w:hAnsi="Times New Roman"/>
          <w:sz w:val="21"/>
          <w:szCs w:val="21"/>
        </w:rPr>
        <w:t>主要试验（或验证）情况</w:t>
      </w:r>
      <w:bookmarkEnd w:id="39"/>
      <w:bookmarkEnd w:id="40"/>
    </w:p>
    <w:p w14:paraId="3CDC894B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bookmarkStart w:id="41" w:name="_Toc522368006"/>
      <w:bookmarkStart w:id="42" w:name="_Toc11837285"/>
      <w:bookmarkStart w:id="43" w:name="_Toc22220543"/>
      <w:bookmarkStart w:id="44" w:name="_Toc11838026"/>
      <w:bookmarkStart w:id="45" w:name="_Toc522368188"/>
      <w:bookmarkStart w:id="46" w:name="_Toc24186"/>
      <w:bookmarkStart w:id="47" w:name="_Toc12700"/>
      <w:r>
        <w:rPr>
          <w:szCs w:val="21"/>
        </w:rPr>
        <w:t>本标准制定过程中抽取了目前国内椰油酰胺甲基</w:t>
      </w:r>
      <w:r>
        <w:rPr>
          <w:szCs w:val="21"/>
        </w:rPr>
        <w:t xml:space="preserve"> MEA</w:t>
      </w:r>
      <w:r>
        <w:rPr>
          <w:szCs w:val="21"/>
        </w:rPr>
        <w:t>主要生产企业的样品进行检测，</w:t>
      </w:r>
      <w:bookmarkEnd w:id="41"/>
      <w:bookmarkEnd w:id="42"/>
      <w:bookmarkEnd w:id="43"/>
      <w:bookmarkEnd w:id="44"/>
      <w:bookmarkEnd w:id="45"/>
      <w:r>
        <w:rPr>
          <w:rFonts w:hint="eastAsia"/>
          <w:szCs w:val="21"/>
        </w:rPr>
        <w:t>总共检测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家企业</w:t>
      </w:r>
      <w:r>
        <w:rPr>
          <w:rFonts w:hint="eastAsia"/>
          <w:szCs w:val="21"/>
        </w:rPr>
        <w:t>56</w:t>
      </w:r>
      <w:r>
        <w:rPr>
          <w:rFonts w:hint="eastAsia"/>
          <w:szCs w:val="21"/>
        </w:rPr>
        <w:t>个样品，</w:t>
      </w:r>
      <w:bookmarkEnd w:id="46"/>
      <w:r>
        <w:rPr>
          <w:rFonts w:hint="eastAsia"/>
          <w:szCs w:val="21"/>
        </w:rPr>
        <w:t>其中合格样品</w:t>
      </w:r>
      <w:r>
        <w:rPr>
          <w:rFonts w:hint="eastAsia"/>
          <w:szCs w:val="21"/>
        </w:rPr>
        <w:t>53</w:t>
      </w:r>
      <w:r>
        <w:rPr>
          <w:rFonts w:hint="eastAsia"/>
          <w:szCs w:val="21"/>
        </w:rPr>
        <w:t>个，不合格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个，合格率为</w:t>
      </w:r>
      <w:r>
        <w:rPr>
          <w:rFonts w:hint="eastAsia"/>
          <w:szCs w:val="21"/>
        </w:rPr>
        <w:t>94.6%</w:t>
      </w:r>
      <w:r>
        <w:rPr>
          <w:rFonts w:hint="eastAsia"/>
          <w:szCs w:val="21"/>
        </w:rPr>
        <w:t>，不合格率</w:t>
      </w:r>
      <w:r>
        <w:rPr>
          <w:rFonts w:hint="eastAsia"/>
          <w:szCs w:val="21"/>
        </w:rPr>
        <w:t>5.4%</w:t>
      </w:r>
      <w:r>
        <w:rPr>
          <w:rFonts w:hint="eastAsia"/>
          <w:szCs w:val="21"/>
        </w:rPr>
        <w:t>；其中有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个样品的色泽和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个样品的胺值和甲醇含量不在本标准的规定范围内。</w:t>
      </w:r>
      <w:r>
        <w:rPr>
          <w:szCs w:val="21"/>
        </w:rPr>
        <w:t>结果见附表</w:t>
      </w:r>
      <w:r>
        <w:rPr>
          <w:szCs w:val="21"/>
        </w:rPr>
        <w:t>1</w:t>
      </w:r>
      <w:r>
        <w:rPr>
          <w:szCs w:val="21"/>
        </w:rPr>
        <w:t>。</w:t>
      </w:r>
      <w:bookmarkEnd w:id="47"/>
    </w:p>
    <w:p w14:paraId="738BD33E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48" w:name="_Toc522368189"/>
      <w:bookmarkStart w:id="49" w:name="_Toc25401"/>
      <w:r>
        <w:rPr>
          <w:rFonts w:ascii="Times New Roman" w:eastAsia="等线" w:hAnsi="Times New Roman"/>
          <w:b/>
          <w:sz w:val="24"/>
          <w:szCs w:val="24"/>
        </w:rPr>
        <w:lastRenderedPageBreak/>
        <w:t>四、</w:t>
      </w:r>
      <w:bookmarkEnd w:id="48"/>
      <w:r>
        <w:rPr>
          <w:rFonts w:ascii="Times New Roman" w:eastAsia="等线" w:hAnsi="Times New Roman"/>
          <w:b/>
          <w:sz w:val="24"/>
          <w:szCs w:val="24"/>
        </w:rPr>
        <w:t>标准中如果涉及专利，应有明确的知识产权说明</w:t>
      </w:r>
      <w:bookmarkEnd w:id="49"/>
    </w:p>
    <w:p w14:paraId="5633D8EC" w14:textId="77777777" w:rsidR="00ED2520" w:rsidRDefault="0000000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本标准不涉及专利等知识产权问题。</w:t>
      </w:r>
    </w:p>
    <w:p w14:paraId="1E15C90D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50" w:name="_Toc522368190"/>
      <w:bookmarkStart w:id="51" w:name="_Toc5818"/>
      <w:r>
        <w:rPr>
          <w:rFonts w:ascii="Times New Roman" w:eastAsia="等线" w:hAnsi="Times New Roman"/>
          <w:b/>
          <w:sz w:val="24"/>
          <w:szCs w:val="24"/>
        </w:rPr>
        <w:t>五、预期达到的社会效益、对产业发展的作用等情况</w:t>
      </w:r>
      <w:bookmarkEnd w:id="50"/>
      <w:bookmarkEnd w:id="51"/>
    </w:p>
    <w:p w14:paraId="44CEC01A" w14:textId="77777777" w:rsidR="00ED2520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椰油酰胺甲基</w:t>
      </w:r>
      <w:r>
        <w:rPr>
          <w:szCs w:val="21"/>
        </w:rPr>
        <w:t xml:space="preserve"> MEA</w:t>
      </w:r>
      <w:r>
        <w:rPr>
          <w:szCs w:val="21"/>
        </w:rPr>
        <w:t>是一种来源于天然植物油脂衍生的非离子表面活性剂，温和安全，有望成为</w:t>
      </w:r>
      <w:r>
        <w:rPr>
          <w:rFonts w:hint="eastAsia"/>
          <w:szCs w:val="21"/>
        </w:rPr>
        <w:t>CDEA</w:t>
      </w:r>
      <w:r>
        <w:rPr>
          <w:szCs w:val="21"/>
        </w:rPr>
        <w:t>和</w:t>
      </w:r>
      <w:r>
        <w:rPr>
          <w:szCs w:val="21"/>
        </w:rPr>
        <w:t>CMEA</w:t>
      </w:r>
      <w:r>
        <w:rPr>
          <w:szCs w:val="21"/>
        </w:rPr>
        <w:t>的优良替代品，具有良好的稳定性，能有效避免二乙醇胺和亚硝胺等有害杂质对人体的危害，对皮肤刺激性小，性质温和，易生物降解，可广泛应用在洗发香波、沐浴露</w:t>
      </w:r>
      <w:r>
        <w:rPr>
          <w:szCs w:val="21"/>
        </w:rPr>
        <w:t>/</w:t>
      </w:r>
      <w:r>
        <w:rPr>
          <w:szCs w:val="21"/>
        </w:rPr>
        <w:t>沐浴油、洗面奶、洗手液等个人护理产品中。但至今，椰油酰胺甲基</w:t>
      </w:r>
      <w:r>
        <w:rPr>
          <w:szCs w:val="21"/>
        </w:rPr>
        <w:t xml:space="preserve"> MEA</w:t>
      </w:r>
      <w:r>
        <w:rPr>
          <w:szCs w:val="21"/>
        </w:rPr>
        <w:t>尚未制定相关国家、行业等标准，产品的技术指标几乎由厂家自定，导致市场上产品的质量良莠不齐，产品在色泽、甘油、水分和胺值等理化指标，存在着较大的差异。近年来，随着消费者对生活质量的追求日益提高，绿色、高效、环保型产品成为市场追捧的热点，因此，制定《非离子表面活性剂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椰油酰胺甲基</w:t>
      </w:r>
      <w:r>
        <w:rPr>
          <w:szCs w:val="21"/>
        </w:rPr>
        <w:t xml:space="preserve"> MEA</w:t>
      </w:r>
      <w:r>
        <w:rPr>
          <w:szCs w:val="21"/>
        </w:rPr>
        <w:t>》行业标准是非常有必要的。</w:t>
      </w:r>
    </w:p>
    <w:p w14:paraId="4AAC911E" w14:textId="77777777" w:rsidR="00ED2520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标准实施后，第一，可以填补国内及行业标准的空白，为第三方检验和社会监督提供了必要的技术支撑，通过应用该原料的化妆品生产企业对选购该原料有了质量的准绳；第二，可以作为企业组织生产的依据，实现生产管理规范化、标准化和统一化，更好地为行业服务，推动行业良性健康发展；第三，可以促进日化产品生产企业对非离子表面活性剂椰油酰胺甲基</w:t>
      </w:r>
      <w:r>
        <w:rPr>
          <w:szCs w:val="21"/>
        </w:rPr>
        <w:t xml:space="preserve"> MEA</w:t>
      </w:r>
      <w:r>
        <w:rPr>
          <w:szCs w:val="21"/>
        </w:rPr>
        <w:t>原料及其风险物质的认识，对该原料的合理应用及有效应用起到积极的作用，降低行业的安全风险；第四，可以加速产业结构优化升级，全面提高产品质量、工艺设备、能效环保等水平，有利于建设资源节约型、环境友好型社会。</w:t>
      </w:r>
    </w:p>
    <w:p w14:paraId="59480669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52" w:name="_Toc522368191"/>
      <w:bookmarkStart w:id="53" w:name="_Toc30665"/>
      <w:r>
        <w:rPr>
          <w:rFonts w:ascii="Times New Roman" w:eastAsia="等线" w:hAnsi="Times New Roman"/>
          <w:b/>
          <w:sz w:val="24"/>
          <w:szCs w:val="24"/>
        </w:rPr>
        <w:t>六、</w:t>
      </w:r>
      <w:bookmarkEnd w:id="52"/>
      <w:r>
        <w:rPr>
          <w:rFonts w:ascii="Times New Roman" w:eastAsia="等线" w:hAnsi="Times New Roman"/>
          <w:b/>
          <w:sz w:val="24"/>
          <w:szCs w:val="24"/>
        </w:rPr>
        <w:t>采用国际标准和国外先进标准情况</w:t>
      </w:r>
      <w:bookmarkEnd w:id="53"/>
    </w:p>
    <w:p w14:paraId="3B2AD42B" w14:textId="77777777" w:rsidR="00ED2520" w:rsidRDefault="00000000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）本标准没有采用国际标准。</w:t>
      </w:r>
    </w:p>
    <w:p w14:paraId="751A5048" w14:textId="77777777" w:rsidR="00ED2520" w:rsidRDefault="00000000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）本标准制定过程中未查到同类国际、国外标准。</w:t>
      </w:r>
    </w:p>
    <w:p w14:paraId="0D86D21F" w14:textId="77777777" w:rsidR="00ED2520" w:rsidRDefault="00000000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）本标准达到国内先进水平。</w:t>
      </w:r>
    </w:p>
    <w:p w14:paraId="08379B66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54" w:name="_Toc522368192"/>
      <w:bookmarkStart w:id="55" w:name="_Toc21401"/>
      <w:r>
        <w:rPr>
          <w:rFonts w:ascii="Times New Roman" w:eastAsia="等线" w:hAnsi="Times New Roman"/>
          <w:b/>
          <w:sz w:val="24"/>
          <w:szCs w:val="24"/>
        </w:rPr>
        <w:t>七、与现行相关法律、法规、规章及标准，特别是强制性标准的协调性</w:t>
      </w:r>
      <w:bookmarkEnd w:id="54"/>
      <w:bookmarkEnd w:id="55"/>
    </w:p>
    <w:p w14:paraId="58514B01" w14:textId="77777777" w:rsidR="00ED2520" w:rsidRDefault="00000000">
      <w:pPr>
        <w:spacing w:line="360" w:lineRule="auto"/>
        <w:ind w:firstLineChars="200" w:firstLine="420"/>
        <w:outlineLvl w:val="0"/>
        <w:rPr>
          <w:szCs w:val="21"/>
        </w:rPr>
      </w:pPr>
      <w:bookmarkStart w:id="56" w:name="_Toc12120"/>
      <w:bookmarkStart w:id="57" w:name="_Toc11838031"/>
      <w:bookmarkStart w:id="58" w:name="_Toc25735"/>
      <w:bookmarkStart w:id="59" w:name="_Toc11837290"/>
      <w:bookmarkStart w:id="60" w:name="_Toc11807"/>
      <w:bookmarkStart w:id="61" w:name="_Toc522368193"/>
      <w:bookmarkStart w:id="62" w:name="_Toc522368011"/>
      <w:bookmarkStart w:id="63" w:name="_Toc22220548"/>
      <w:r>
        <w:rPr>
          <w:szCs w:val="21"/>
        </w:rPr>
        <w:t>本标准与现行相关法律、法规、规章及相关标准协调一致。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1B752FC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64" w:name="_Toc522368194"/>
      <w:bookmarkStart w:id="65" w:name="_Toc21467"/>
      <w:r>
        <w:rPr>
          <w:rFonts w:ascii="Times New Roman" w:eastAsia="等线" w:hAnsi="Times New Roman"/>
          <w:b/>
          <w:sz w:val="24"/>
          <w:szCs w:val="24"/>
        </w:rPr>
        <w:t>八、重大分歧意见的处理经过和依据</w:t>
      </w:r>
      <w:bookmarkEnd w:id="64"/>
      <w:bookmarkEnd w:id="65"/>
    </w:p>
    <w:p w14:paraId="30F75D6C" w14:textId="77777777" w:rsidR="00ED2520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无。</w:t>
      </w:r>
    </w:p>
    <w:p w14:paraId="1CC7C3D7" w14:textId="77777777" w:rsidR="00ED2520" w:rsidRDefault="00000000">
      <w:pPr>
        <w:pStyle w:val="1"/>
        <w:spacing w:before="0" w:after="0" w:line="360" w:lineRule="auto"/>
        <w:rPr>
          <w:rFonts w:ascii="Times New Roman" w:eastAsia="等线" w:hAnsi="Times New Roman"/>
          <w:b/>
          <w:sz w:val="24"/>
          <w:szCs w:val="24"/>
        </w:rPr>
      </w:pPr>
      <w:bookmarkStart w:id="66" w:name="_Toc522368195"/>
      <w:bookmarkStart w:id="67" w:name="_Toc1325"/>
      <w:r>
        <w:rPr>
          <w:rFonts w:ascii="Times New Roman" w:eastAsia="等线" w:hAnsi="Times New Roman"/>
          <w:b/>
          <w:sz w:val="24"/>
          <w:szCs w:val="24"/>
        </w:rPr>
        <w:t>九、废止现行相关标准的建议</w:t>
      </w:r>
      <w:bookmarkEnd w:id="66"/>
      <w:bookmarkEnd w:id="67"/>
    </w:p>
    <w:p w14:paraId="36B0CD26" w14:textId="77777777" w:rsidR="00ED2520" w:rsidRDefault="00000000">
      <w:pPr>
        <w:spacing w:line="360" w:lineRule="auto"/>
        <w:ind w:firstLineChars="200" w:firstLine="420"/>
        <w:outlineLvl w:val="0"/>
      </w:pPr>
      <w:bookmarkStart w:id="68" w:name="_Toc596"/>
      <w:bookmarkStart w:id="69" w:name="_Toc18600"/>
      <w:bookmarkStart w:id="70" w:name="_Toc22220551"/>
      <w:bookmarkStart w:id="71" w:name="_Toc11838034"/>
      <w:bookmarkStart w:id="72" w:name="_Toc522368014"/>
      <w:bookmarkStart w:id="73" w:name="_Toc522368196"/>
      <w:bookmarkStart w:id="74" w:name="_Toc16121"/>
      <w:bookmarkStart w:id="75" w:name="_Toc11837293"/>
      <w:r>
        <w:t>无。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7BAED91" w14:textId="77777777" w:rsidR="00ED2520" w:rsidRDefault="00ED2520">
      <w:pPr>
        <w:spacing w:line="360" w:lineRule="auto"/>
        <w:ind w:firstLineChars="200" w:firstLine="420"/>
        <w:outlineLvl w:val="0"/>
        <w:sectPr w:rsidR="00ED2520">
          <w:footerReference w:type="default" r:id="rId12"/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14:paraId="1938A773" w14:textId="77777777" w:rsidR="00ED2520" w:rsidRDefault="00000000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附表</w:t>
      </w:r>
      <w:r>
        <w:rPr>
          <w:sz w:val="18"/>
          <w:szCs w:val="18"/>
        </w:rPr>
        <w:t xml:space="preserve">1 </w:t>
      </w:r>
      <w:r>
        <w:rPr>
          <w:sz w:val="18"/>
          <w:szCs w:val="18"/>
        </w:rPr>
        <w:t>国内主要椰油酰胺甲基</w:t>
      </w:r>
      <w:r>
        <w:rPr>
          <w:sz w:val="18"/>
          <w:szCs w:val="18"/>
        </w:rPr>
        <w:t xml:space="preserve"> MEA</w:t>
      </w:r>
      <w:r>
        <w:rPr>
          <w:sz w:val="18"/>
          <w:szCs w:val="18"/>
        </w:rPr>
        <w:t>生产企业的</w:t>
      </w:r>
      <w:r>
        <w:rPr>
          <w:rFonts w:hint="eastAsia"/>
          <w:sz w:val="18"/>
          <w:szCs w:val="18"/>
        </w:rPr>
        <w:t>样品</w:t>
      </w:r>
      <w:r>
        <w:rPr>
          <w:sz w:val="18"/>
          <w:szCs w:val="18"/>
        </w:rPr>
        <w:t>检测结果</w:t>
      </w:r>
    </w:p>
    <w:tbl>
      <w:tblPr>
        <w:tblpPr w:leftFromText="180" w:rightFromText="180" w:vertAnchor="page" w:horzAnchor="margin" w:tblpXSpec="center" w:tblpY="2251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653"/>
        <w:gridCol w:w="1273"/>
        <w:gridCol w:w="1511"/>
        <w:gridCol w:w="1655"/>
        <w:gridCol w:w="1361"/>
        <w:gridCol w:w="1363"/>
        <w:gridCol w:w="1021"/>
        <w:gridCol w:w="1105"/>
        <w:gridCol w:w="1172"/>
        <w:gridCol w:w="1096"/>
      </w:tblGrid>
      <w:tr w:rsidR="00ED2520" w14:paraId="20A3BC5F" w14:textId="77777777">
        <w:trPr>
          <w:trHeight w:val="370"/>
        </w:trPr>
        <w:tc>
          <w:tcPr>
            <w:tcW w:w="13036" w:type="dxa"/>
            <w:gridSpan w:val="11"/>
            <w:vAlign w:val="center"/>
          </w:tcPr>
          <w:p w14:paraId="2D7C9D1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椰油酰胺甲基</w:t>
            </w:r>
            <w:r>
              <w:rPr>
                <w:b/>
                <w:bCs/>
                <w:sz w:val="18"/>
                <w:szCs w:val="18"/>
              </w:rPr>
              <w:t xml:space="preserve"> MEA</w:t>
            </w:r>
          </w:p>
        </w:tc>
      </w:tr>
      <w:tr w:rsidR="00ED2520" w14:paraId="3F05EE93" w14:textId="77777777">
        <w:trPr>
          <w:trHeight w:val="370"/>
        </w:trPr>
        <w:tc>
          <w:tcPr>
            <w:tcW w:w="13036" w:type="dxa"/>
            <w:gridSpan w:val="11"/>
            <w:vAlign w:val="center"/>
          </w:tcPr>
          <w:p w14:paraId="447E5EC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A</w:t>
            </w:r>
            <w:r>
              <w:rPr>
                <w:rFonts w:hint="eastAsia"/>
                <w:b/>
                <w:bCs/>
                <w:sz w:val="18"/>
                <w:szCs w:val="18"/>
              </w:rPr>
              <w:t>型</w:t>
            </w:r>
          </w:p>
        </w:tc>
      </w:tr>
      <w:tr w:rsidR="00ED2520" w14:paraId="0186FAC6" w14:textId="77777777">
        <w:trPr>
          <w:trHeight w:val="712"/>
        </w:trPr>
        <w:tc>
          <w:tcPr>
            <w:tcW w:w="826" w:type="dxa"/>
            <w:vAlign w:val="center"/>
          </w:tcPr>
          <w:p w14:paraId="619E5CC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企业</w:t>
            </w:r>
          </w:p>
        </w:tc>
        <w:tc>
          <w:tcPr>
            <w:tcW w:w="653" w:type="dxa"/>
            <w:vAlign w:val="center"/>
          </w:tcPr>
          <w:p w14:paraId="135A6DA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批号</w:t>
            </w:r>
          </w:p>
        </w:tc>
        <w:tc>
          <w:tcPr>
            <w:tcW w:w="1273" w:type="dxa"/>
            <w:vAlign w:val="center"/>
          </w:tcPr>
          <w:p w14:paraId="0F2C6E7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外观（</w:t>
            </w:r>
            <w:r>
              <w:rPr>
                <w:sz w:val="18"/>
                <w:szCs w:val="18"/>
              </w:rPr>
              <w:t>25℃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511" w:type="dxa"/>
            <w:vAlign w:val="center"/>
          </w:tcPr>
          <w:p w14:paraId="36968ED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气味</w:t>
            </w:r>
          </w:p>
        </w:tc>
        <w:tc>
          <w:tcPr>
            <w:tcW w:w="1655" w:type="dxa"/>
            <w:vAlign w:val="center"/>
          </w:tcPr>
          <w:p w14:paraId="48F1BB9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  <w:p w14:paraId="7CB7987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5%</w:t>
            </w:r>
            <w:r>
              <w:rPr>
                <w:sz w:val="18"/>
                <w:szCs w:val="18"/>
              </w:rPr>
              <w:t>甲醇水溶液）</w:t>
            </w:r>
          </w:p>
        </w:tc>
        <w:tc>
          <w:tcPr>
            <w:tcW w:w="1361" w:type="dxa"/>
            <w:vAlign w:val="center"/>
          </w:tcPr>
          <w:p w14:paraId="2A6178B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色泽</w:t>
            </w:r>
          </w:p>
          <w:p w14:paraId="786173E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Hazen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363" w:type="dxa"/>
            <w:vAlign w:val="center"/>
          </w:tcPr>
          <w:p w14:paraId="4DA73F5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胺值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mgKOH/g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021" w:type="dxa"/>
            <w:vAlign w:val="center"/>
          </w:tcPr>
          <w:p w14:paraId="2435432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甲酯含量</w:t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05" w:type="dxa"/>
            <w:vAlign w:val="center"/>
          </w:tcPr>
          <w:p w14:paraId="2A5EB7A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水分</w:t>
            </w:r>
          </w:p>
          <w:p w14:paraId="0EB8D5F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72" w:type="dxa"/>
            <w:vAlign w:val="center"/>
          </w:tcPr>
          <w:p w14:paraId="63F4489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活性物含量</w:t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096" w:type="dxa"/>
            <w:vAlign w:val="center"/>
          </w:tcPr>
          <w:p w14:paraId="2D91414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甲醇含量</w:t>
            </w:r>
          </w:p>
          <w:p w14:paraId="3882807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mg/kg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ED2520" w14:paraId="5C6F7BAC" w14:textId="77777777">
        <w:trPr>
          <w:trHeight w:val="370"/>
        </w:trPr>
        <w:tc>
          <w:tcPr>
            <w:tcW w:w="826" w:type="dxa"/>
            <w:vMerge w:val="restart"/>
            <w:vAlign w:val="center"/>
          </w:tcPr>
          <w:p w14:paraId="324F317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3" w:type="dxa"/>
            <w:vAlign w:val="center"/>
          </w:tcPr>
          <w:p w14:paraId="232A145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205A94E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4E0FFEF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56B5D23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9.0</w:t>
            </w:r>
          </w:p>
        </w:tc>
        <w:tc>
          <w:tcPr>
            <w:tcW w:w="1361" w:type="dxa"/>
            <w:vAlign w:val="center"/>
          </w:tcPr>
          <w:p w14:paraId="184D6C4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</w:t>
            </w:r>
          </w:p>
        </w:tc>
        <w:tc>
          <w:tcPr>
            <w:tcW w:w="1363" w:type="dxa"/>
            <w:vAlign w:val="center"/>
          </w:tcPr>
          <w:p w14:paraId="6D3FCEC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1021" w:type="dxa"/>
            <w:vAlign w:val="center"/>
          </w:tcPr>
          <w:p w14:paraId="43EBE90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1.2</w:t>
            </w:r>
          </w:p>
        </w:tc>
        <w:tc>
          <w:tcPr>
            <w:tcW w:w="1105" w:type="dxa"/>
            <w:vAlign w:val="center"/>
          </w:tcPr>
          <w:p w14:paraId="4C588C3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172" w:type="dxa"/>
            <w:vAlign w:val="center"/>
          </w:tcPr>
          <w:p w14:paraId="7C08C4F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98.1</w:t>
            </w:r>
          </w:p>
        </w:tc>
        <w:tc>
          <w:tcPr>
            <w:tcW w:w="1096" w:type="dxa"/>
            <w:vAlign w:val="center"/>
          </w:tcPr>
          <w:p w14:paraId="7778480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</w:tr>
      <w:tr w:rsidR="00ED2520" w14:paraId="6D8E6972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3BE85492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5B012BC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56F9106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2BF68E6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CC25A4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9.2</w:t>
            </w:r>
          </w:p>
        </w:tc>
        <w:tc>
          <w:tcPr>
            <w:tcW w:w="1361" w:type="dxa"/>
            <w:vAlign w:val="center"/>
          </w:tcPr>
          <w:p w14:paraId="370EA44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177</w:t>
            </w:r>
          </w:p>
        </w:tc>
        <w:tc>
          <w:tcPr>
            <w:tcW w:w="1363" w:type="dxa"/>
            <w:vAlign w:val="center"/>
          </w:tcPr>
          <w:p w14:paraId="47C1C22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6.2</w:t>
            </w:r>
          </w:p>
        </w:tc>
        <w:tc>
          <w:tcPr>
            <w:tcW w:w="1021" w:type="dxa"/>
            <w:vAlign w:val="center"/>
          </w:tcPr>
          <w:p w14:paraId="6F4294D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1.8</w:t>
            </w:r>
          </w:p>
        </w:tc>
        <w:tc>
          <w:tcPr>
            <w:tcW w:w="1105" w:type="dxa"/>
            <w:vAlign w:val="center"/>
          </w:tcPr>
          <w:p w14:paraId="6854857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172" w:type="dxa"/>
            <w:vAlign w:val="center"/>
          </w:tcPr>
          <w:p w14:paraId="0D91418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97.3</w:t>
            </w:r>
          </w:p>
        </w:tc>
        <w:tc>
          <w:tcPr>
            <w:tcW w:w="1096" w:type="dxa"/>
            <w:vAlign w:val="center"/>
          </w:tcPr>
          <w:p w14:paraId="188CD32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340</w:t>
            </w:r>
          </w:p>
        </w:tc>
      </w:tr>
      <w:tr w:rsidR="00ED2520" w14:paraId="3A866591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0B701D2C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671BE40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340869A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41C984C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6AF7BC1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9.5</w:t>
            </w:r>
          </w:p>
        </w:tc>
        <w:tc>
          <w:tcPr>
            <w:tcW w:w="1361" w:type="dxa"/>
            <w:vAlign w:val="center"/>
          </w:tcPr>
          <w:p w14:paraId="3CF739C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166</w:t>
            </w:r>
          </w:p>
        </w:tc>
        <w:tc>
          <w:tcPr>
            <w:tcW w:w="1363" w:type="dxa"/>
            <w:vAlign w:val="center"/>
          </w:tcPr>
          <w:p w14:paraId="7370AAD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5.4</w:t>
            </w:r>
          </w:p>
        </w:tc>
        <w:tc>
          <w:tcPr>
            <w:tcW w:w="1021" w:type="dxa"/>
            <w:vAlign w:val="center"/>
          </w:tcPr>
          <w:p w14:paraId="4457A7C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2.1</w:t>
            </w:r>
          </w:p>
        </w:tc>
        <w:tc>
          <w:tcPr>
            <w:tcW w:w="1105" w:type="dxa"/>
            <w:vAlign w:val="center"/>
          </w:tcPr>
          <w:p w14:paraId="71CBEF2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37A1B88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97.0</w:t>
            </w:r>
          </w:p>
        </w:tc>
        <w:tc>
          <w:tcPr>
            <w:tcW w:w="1096" w:type="dxa"/>
            <w:vAlign w:val="center"/>
          </w:tcPr>
          <w:p w14:paraId="5230F07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</w:tr>
      <w:tr w:rsidR="00ED2520" w14:paraId="47CD9A25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50F33F12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1EC775C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73" w:type="dxa"/>
            <w:vAlign w:val="center"/>
          </w:tcPr>
          <w:p w14:paraId="64FD02E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965C5B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05FD1B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</w:t>
            </w:r>
          </w:p>
        </w:tc>
        <w:tc>
          <w:tcPr>
            <w:tcW w:w="1361" w:type="dxa"/>
            <w:vAlign w:val="center"/>
          </w:tcPr>
          <w:p w14:paraId="66FDC64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191</w:t>
            </w:r>
          </w:p>
        </w:tc>
        <w:tc>
          <w:tcPr>
            <w:tcW w:w="1363" w:type="dxa"/>
            <w:vAlign w:val="center"/>
          </w:tcPr>
          <w:p w14:paraId="30AB84D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6.8</w:t>
            </w:r>
          </w:p>
        </w:tc>
        <w:tc>
          <w:tcPr>
            <w:tcW w:w="1021" w:type="dxa"/>
            <w:vAlign w:val="center"/>
          </w:tcPr>
          <w:p w14:paraId="3F1485D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1.7</w:t>
            </w:r>
          </w:p>
        </w:tc>
        <w:tc>
          <w:tcPr>
            <w:tcW w:w="1105" w:type="dxa"/>
            <w:vAlign w:val="center"/>
          </w:tcPr>
          <w:p w14:paraId="115FA9D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172" w:type="dxa"/>
            <w:vAlign w:val="center"/>
          </w:tcPr>
          <w:p w14:paraId="1E02F53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97.3</w:t>
            </w:r>
          </w:p>
        </w:tc>
        <w:tc>
          <w:tcPr>
            <w:tcW w:w="1096" w:type="dxa"/>
            <w:vAlign w:val="center"/>
          </w:tcPr>
          <w:p w14:paraId="7287337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81</w:t>
            </w:r>
          </w:p>
        </w:tc>
      </w:tr>
      <w:tr w:rsidR="00ED2520" w14:paraId="43953FC3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359F4F7D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3BB9444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73" w:type="dxa"/>
            <w:vAlign w:val="center"/>
          </w:tcPr>
          <w:p w14:paraId="4D7D37C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7D19AE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1F310A1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9.3</w:t>
            </w:r>
          </w:p>
        </w:tc>
        <w:tc>
          <w:tcPr>
            <w:tcW w:w="1361" w:type="dxa"/>
            <w:vAlign w:val="center"/>
          </w:tcPr>
          <w:p w14:paraId="375D746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158</w:t>
            </w:r>
          </w:p>
        </w:tc>
        <w:tc>
          <w:tcPr>
            <w:tcW w:w="1363" w:type="dxa"/>
            <w:vAlign w:val="center"/>
          </w:tcPr>
          <w:p w14:paraId="1746FE3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11.2</w:t>
            </w:r>
          </w:p>
        </w:tc>
        <w:tc>
          <w:tcPr>
            <w:tcW w:w="1021" w:type="dxa"/>
            <w:vAlign w:val="center"/>
          </w:tcPr>
          <w:p w14:paraId="19934E5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2.3</w:t>
            </w:r>
          </w:p>
        </w:tc>
        <w:tc>
          <w:tcPr>
            <w:tcW w:w="1105" w:type="dxa"/>
            <w:vAlign w:val="center"/>
          </w:tcPr>
          <w:p w14:paraId="43300DB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258BA16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96.0</w:t>
            </w:r>
          </w:p>
        </w:tc>
        <w:tc>
          <w:tcPr>
            <w:tcW w:w="1096" w:type="dxa"/>
            <w:vAlign w:val="center"/>
          </w:tcPr>
          <w:p w14:paraId="78BB46B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176</w:t>
            </w:r>
          </w:p>
        </w:tc>
      </w:tr>
      <w:tr w:rsidR="00ED2520" w14:paraId="193F0C1C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4FBBEEC9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77C471C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73" w:type="dxa"/>
            <w:vAlign w:val="center"/>
          </w:tcPr>
          <w:p w14:paraId="464DDA8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33C6256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53965DA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9.7</w:t>
            </w:r>
          </w:p>
        </w:tc>
        <w:tc>
          <w:tcPr>
            <w:tcW w:w="1361" w:type="dxa"/>
            <w:vAlign w:val="center"/>
          </w:tcPr>
          <w:p w14:paraId="4A948D9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205</w:t>
            </w:r>
          </w:p>
        </w:tc>
        <w:tc>
          <w:tcPr>
            <w:tcW w:w="1363" w:type="dxa"/>
            <w:vAlign w:val="center"/>
          </w:tcPr>
          <w:p w14:paraId="4008A83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8.4</w:t>
            </w:r>
          </w:p>
        </w:tc>
        <w:tc>
          <w:tcPr>
            <w:tcW w:w="1021" w:type="dxa"/>
            <w:vAlign w:val="center"/>
          </w:tcPr>
          <w:p w14:paraId="272AB92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1105" w:type="dxa"/>
            <w:vAlign w:val="center"/>
          </w:tcPr>
          <w:p w14:paraId="2D0CC45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5DD5DF0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97.2</w:t>
            </w:r>
          </w:p>
        </w:tc>
        <w:tc>
          <w:tcPr>
            <w:tcW w:w="1096" w:type="dxa"/>
            <w:vAlign w:val="center"/>
          </w:tcPr>
          <w:p w14:paraId="70DAE98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7.8</w:t>
            </w:r>
          </w:p>
        </w:tc>
      </w:tr>
      <w:tr w:rsidR="00ED2520" w14:paraId="770F2358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22C05D13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8BF5FA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273" w:type="dxa"/>
            <w:vAlign w:val="center"/>
          </w:tcPr>
          <w:p w14:paraId="70C50A3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224DE0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6B679A6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9.9</w:t>
            </w:r>
          </w:p>
        </w:tc>
        <w:tc>
          <w:tcPr>
            <w:tcW w:w="1361" w:type="dxa"/>
            <w:vAlign w:val="center"/>
          </w:tcPr>
          <w:p w14:paraId="009C0B3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128</w:t>
            </w:r>
          </w:p>
        </w:tc>
        <w:tc>
          <w:tcPr>
            <w:tcW w:w="1363" w:type="dxa"/>
            <w:vAlign w:val="center"/>
          </w:tcPr>
          <w:p w14:paraId="7D65DDE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12.4</w:t>
            </w:r>
          </w:p>
        </w:tc>
        <w:tc>
          <w:tcPr>
            <w:tcW w:w="1021" w:type="dxa"/>
            <w:vAlign w:val="center"/>
          </w:tcPr>
          <w:p w14:paraId="47FF640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105" w:type="dxa"/>
            <w:vAlign w:val="center"/>
          </w:tcPr>
          <w:p w14:paraId="2BAD35E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2EF91B0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97.6</w:t>
            </w:r>
          </w:p>
        </w:tc>
        <w:tc>
          <w:tcPr>
            <w:tcW w:w="1096" w:type="dxa"/>
            <w:vAlign w:val="center"/>
          </w:tcPr>
          <w:p w14:paraId="258EEC6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493</w:t>
            </w:r>
          </w:p>
        </w:tc>
      </w:tr>
      <w:tr w:rsidR="00ED2520" w14:paraId="4CC4F88F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1ACBEC92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1C3F4B6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273" w:type="dxa"/>
            <w:vAlign w:val="center"/>
          </w:tcPr>
          <w:p w14:paraId="433D326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1DC417F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06D7A06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9.1</w:t>
            </w:r>
          </w:p>
        </w:tc>
        <w:tc>
          <w:tcPr>
            <w:tcW w:w="1361" w:type="dxa"/>
            <w:vAlign w:val="center"/>
          </w:tcPr>
          <w:p w14:paraId="1930F16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135</w:t>
            </w:r>
          </w:p>
        </w:tc>
        <w:tc>
          <w:tcPr>
            <w:tcW w:w="1363" w:type="dxa"/>
            <w:vAlign w:val="center"/>
          </w:tcPr>
          <w:p w14:paraId="05A8A99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1021" w:type="dxa"/>
            <w:vAlign w:val="center"/>
          </w:tcPr>
          <w:p w14:paraId="327E1AA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105" w:type="dxa"/>
            <w:vAlign w:val="center"/>
          </w:tcPr>
          <w:p w14:paraId="2AD0957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172" w:type="dxa"/>
            <w:vAlign w:val="center"/>
          </w:tcPr>
          <w:p w14:paraId="1F02BD3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98.5</w:t>
            </w:r>
          </w:p>
        </w:tc>
        <w:tc>
          <w:tcPr>
            <w:tcW w:w="1096" w:type="dxa"/>
            <w:vAlign w:val="center"/>
          </w:tcPr>
          <w:p w14:paraId="4720B4C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58</w:t>
            </w:r>
          </w:p>
        </w:tc>
      </w:tr>
      <w:tr w:rsidR="00ED2520" w14:paraId="155898CF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3B8068DB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76" w:name="OLE_LINK4" w:colFirst="3" w:colLast="3"/>
          </w:p>
        </w:tc>
        <w:tc>
          <w:tcPr>
            <w:tcW w:w="653" w:type="dxa"/>
            <w:vAlign w:val="center"/>
          </w:tcPr>
          <w:p w14:paraId="48436A6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273" w:type="dxa"/>
            <w:vAlign w:val="center"/>
          </w:tcPr>
          <w:p w14:paraId="5D55F13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4514D31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4AF2944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9.3</w:t>
            </w:r>
          </w:p>
        </w:tc>
        <w:tc>
          <w:tcPr>
            <w:tcW w:w="1361" w:type="dxa"/>
            <w:vAlign w:val="center"/>
          </w:tcPr>
          <w:p w14:paraId="572E9AB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142</w:t>
            </w:r>
          </w:p>
        </w:tc>
        <w:tc>
          <w:tcPr>
            <w:tcW w:w="1363" w:type="dxa"/>
            <w:vAlign w:val="center"/>
          </w:tcPr>
          <w:p w14:paraId="31F155A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7.2</w:t>
            </w:r>
          </w:p>
        </w:tc>
        <w:tc>
          <w:tcPr>
            <w:tcW w:w="1021" w:type="dxa"/>
            <w:vAlign w:val="center"/>
          </w:tcPr>
          <w:p w14:paraId="12701AA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1.1</w:t>
            </w:r>
          </w:p>
        </w:tc>
        <w:tc>
          <w:tcPr>
            <w:tcW w:w="1105" w:type="dxa"/>
            <w:vAlign w:val="center"/>
          </w:tcPr>
          <w:p w14:paraId="71BC0FF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56BEAFD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97.7</w:t>
            </w:r>
          </w:p>
        </w:tc>
        <w:tc>
          <w:tcPr>
            <w:tcW w:w="1096" w:type="dxa"/>
            <w:vAlign w:val="center"/>
          </w:tcPr>
          <w:p w14:paraId="6C6C648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</w:tr>
      <w:tr w:rsidR="00ED2520" w14:paraId="40F19681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02EAFF11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77" w:name="OLE_LINK6" w:colFirst="2" w:colLast="3"/>
          </w:p>
        </w:tc>
        <w:tc>
          <w:tcPr>
            <w:tcW w:w="653" w:type="dxa"/>
            <w:vAlign w:val="center"/>
          </w:tcPr>
          <w:p w14:paraId="0C47D5B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73" w:type="dxa"/>
            <w:vAlign w:val="center"/>
          </w:tcPr>
          <w:p w14:paraId="3ADDA8B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649E54E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92C0A1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10.1</w:t>
            </w:r>
          </w:p>
        </w:tc>
        <w:tc>
          <w:tcPr>
            <w:tcW w:w="1361" w:type="dxa"/>
            <w:vAlign w:val="center"/>
          </w:tcPr>
          <w:p w14:paraId="198B1A7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218</w:t>
            </w:r>
          </w:p>
        </w:tc>
        <w:tc>
          <w:tcPr>
            <w:tcW w:w="1363" w:type="dxa"/>
            <w:vAlign w:val="center"/>
          </w:tcPr>
          <w:p w14:paraId="0882735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6.5</w:t>
            </w:r>
          </w:p>
        </w:tc>
        <w:tc>
          <w:tcPr>
            <w:tcW w:w="1021" w:type="dxa"/>
            <w:vAlign w:val="center"/>
          </w:tcPr>
          <w:p w14:paraId="0F8E8D1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0.7</w:t>
            </w:r>
          </w:p>
        </w:tc>
        <w:tc>
          <w:tcPr>
            <w:tcW w:w="1105" w:type="dxa"/>
            <w:vAlign w:val="center"/>
          </w:tcPr>
          <w:p w14:paraId="6AC8958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1172" w:type="dxa"/>
            <w:vAlign w:val="center"/>
          </w:tcPr>
          <w:p w14:paraId="2C1E6AB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98.1</w:t>
            </w:r>
          </w:p>
        </w:tc>
        <w:tc>
          <w:tcPr>
            <w:tcW w:w="1096" w:type="dxa"/>
            <w:vAlign w:val="center"/>
          </w:tcPr>
          <w:p w14:paraId="25F19BC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</w:tr>
      <w:bookmarkEnd w:id="77"/>
      <w:tr w:rsidR="00ED2520" w14:paraId="5937C5F2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0F27A6B6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7F33516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273" w:type="dxa"/>
            <w:vAlign w:val="center"/>
          </w:tcPr>
          <w:p w14:paraId="6EC6F2F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61632AF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4744C1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9.8</w:t>
            </w:r>
          </w:p>
        </w:tc>
        <w:tc>
          <w:tcPr>
            <w:tcW w:w="1361" w:type="dxa"/>
            <w:vAlign w:val="center"/>
          </w:tcPr>
          <w:p w14:paraId="6C9768E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397</w:t>
            </w:r>
          </w:p>
        </w:tc>
        <w:tc>
          <w:tcPr>
            <w:tcW w:w="1363" w:type="dxa"/>
            <w:vAlign w:val="center"/>
          </w:tcPr>
          <w:p w14:paraId="079FD39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8.3</w:t>
            </w:r>
          </w:p>
        </w:tc>
        <w:tc>
          <w:tcPr>
            <w:tcW w:w="1021" w:type="dxa"/>
            <w:vAlign w:val="center"/>
          </w:tcPr>
          <w:p w14:paraId="198401F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1105" w:type="dxa"/>
            <w:vAlign w:val="center"/>
          </w:tcPr>
          <w:p w14:paraId="784C6BF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172" w:type="dxa"/>
            <w:vAlign w:val="center"/>
          </w:tcPr>
          <w:p w14:paraId="26D60F7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96.0</w:t>
            </w:r>
          </w:p>
        </w:tc>
        <w:tc>
          <w:tcPr>
            <w:tcW w:w="1096" w:type="dxa"/>
            <w:vAlign w:val="center"/>
          </w:tcPr>
          <w:p w14:paraId="7D1CE98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245</w:t>
            </w:r>
          </w:p>
        </w:tc>
      </w:tr>
      <w:bookmarkEnd w:id="76"/>
      <w:tr w:rsidR="00ED2520" w14:paraId="19C4A012" w14:textId="77777777">
        <w:trPr>
          <w:trHeight w:val="370"/>
        </w:trPr>
        <w:tc>
          <w:tcPr>
            <w:tcW w:w="826" w:type="dxa"/>
            <w:vMerge w:val="restart"/>
            <w:vAlign w:val="center"/>
          </w:tcPr>
          <w:p w14:paraId="4BB1AFF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3" w:type="dxa"/>
            <w:vAlign w:val="center"/>
          </w:tcPr>
          <w:p w14:paraId="7AB7F1B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7DC0DDA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黄色膏体</w:t>
            </w:r>
          </w:p>
        </w:tc>
        <w:tc>
          <w:tcPr>
            <w:tcW w:w="1511" w:type="dxa"/>
            <w:vAlign w:val="center"/>
          </w:tcPr>
          <w:p w14:paraId="6B0470B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463F71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9.2</w:t>
            </w:r>
          </w:p>
        </w:tc>
        <w:tc>
          <w:tcPr>
            <w:tcW w:w="1361" w:type="dxa"/>
            <w:vAlign w:val="center"/>
          </w:tcPr>
          <w:p w14:paraId="2A0BF20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363" w:type="dxa"/>
            <w:vAlign w:val="center"/>
          </w:tcPr>
          <w:p w14:paraId="2750858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11.9</w:t>
            </w:r>
          </w:p>
        </w:tc>
        <w:tc>
          <w:tcPr>
            <w:tcW w:w="1021" w:type="dxa"/>
            <w:vAlign w:val="center"/>
          </w:tcPr>
          <w:p w14:paraId="571F727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105" w:type="dxa"/>
            <w:vAlign w:val="center"/>
          </w:tcPr>
          <w:p w14:paraId="6C774B0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</w:t>
            </w:r>
          </w:p>
        </w:tc>
        <w:tc>
          <w:tcPr>
            <w:tcW w:w="1172" w:type="dxa"/>
            <w:vAlign w:val="center"/>
          </w:tcPr>
          <w:p w14:paraId="3786E2F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97.8</w:t>
            </w:r>
          </w:p>
        </w:tc>
        <w:tc>
          <w:tcPr>
            <w:tcW w:w="1096" w:type="dxa"/>
            <w:vAlign w:val="center"/>
          </w:tcPr>
          <w:p w14:paraId="4CBD6B2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</w:t>
            </w:r>
          </w:p>
        </w:tc>
      </w:tr>
      <w:tr w:rsidR="00ED2520" w14:paraId="58F92D2F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273D9168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0000057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1BDE996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黄色膏体</w:t>
            </w:r>
          </w:p>
        </w:tc>
        <w:tc>
          <w:tcPr>
            <w:tcW w:w="1511" w:type="dxa"/>
            <w:vAlign w:val="center"/>
          </w:tcPr>
          <w:p w14:paraId="45AF988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C7A41D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9.4</w:t>
            </w:r>
          </w:p>
        </w:tc>
        <w:tc>
          <w:tcPr>
            <w:tcW w:w="1361" w:type="dxa"/>
            <w:vAlign w:val="center"/>
          </w:tcPr>
          <w:p w14:paraId="793C98B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363" w:type="dxa"/>
            <w:vAlign w:val="center"/>
          </w:tcPr>
          <w:p w14:paraId="24BA922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12.4</w:t>
            </w:r>
          </w:p>
        </w:tc>
        <w:tc>
          <w:tcPr>
            <w:tcW w:w="1021" w:type="dxa"/>
            <w:vAlign w:val="center"/>
          </w:tcPr>
          <w:p w14:paraId="2485792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105" w:type="dxa"/>
            <w:vAlign w:val="center"/>
          </w:tcPr>
          <w:p w14:paraId="2F865DC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</w:t>
            </w:r>
          </w:p>
        </w:tc>
        <w:tc>
          <w:tcPr>
            <w:tcW w:w="1172" w:type="dxa"/>
            <w:vAlign w:val="center"/>
          </w:tcPr>
          <w:p w14:paraId="50C7ADF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98.0</w:t>
            </w:r>
          </w:p>
        </w:tc>
        <w:tc>
          <w:tcPr>
            <w:tcW w:w="1096" w:type="dxa"/>
            <w:vAlign w:val="center"/>
          </w:tcPr>
          <w:p w14:paraId="176A02C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58</w:t>
            </w:r>
          </w:p>
        </w:tc>
      </w:tr>
      <w:tr w:rsidR="00ED2520" w14:paraId="50CB4912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6A475A4F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E607AA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664EB02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黄色膏体</w:t>
            </w:r>
          </w:p>
        </w:tc>
        <w:tc>
          <w:tcPr>
            <w:tcW w:w="1511" w:type="dxa"/>
            <w:vAlign w:val="center"/>
          </w:tcPr>
          <w:p w14:paraId="73C8FE0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00C5D99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9.5</w:t>
            </w:r>
          </w:p>
        </w:tc>
        <w:tc>
          <w:tcPr>
            <w:tcW w:w="1361" w:type="dxa"/>
            <w:vAlign w:val="center"/>
          </w:tcPr>
          <w:p w14:paraId="41392C5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363" w:type="dxa"/>
            <w:vAlign w:val="center"/>
          </w:tcPr>
          <w:p w14:paraId="49666E6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18.7</w:t>
            </w:r>
          </w:p>
        </w:tc>
        <w:tc>
          <w:tcPr>
            <w:tcW w:w="1021" w:type="dxa"/>
            <w:vAlign w:val="center"/>
          </w:tcPr>
          <w:p w14:paraId="79A558B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105" w:type="dxa"/>
            <w:vAlign w:val="center"/>
          </w:tcPr>
          <w:p w14:paraId="5748C69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1172" w:type="dxa"/>
            <w:vAlign w:val="center"/>
          </w:tcPr>
          <w:p w14:paraId="1DF7303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97.2</w:t>
            </w:r>
          </w:p>
        </w:tc>
        <w:tc>
          <w:tcPr>
            <w:tcW w:w="1096" w:type="dxa"/>
            <w:vAlign w:val="center"/>
          </w:tcPr>
          <w:p w14:paraId="2F00E7D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</w:tr>
      <w:tr w:rsidR="00ED2520" w14:paraId="176B3793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21BF1E31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3BF611C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73" w:type="dxa"/>
            <w:vAlign w:val="center"/>
          </w:tcPr>
          <w:p w14:paraId="6A158A5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黄色膏体</w:t>
            </w:r>
          </w:p>
        </w:tc>
        <w:tc>
          <w:tcPr>
            <w:tcW w:w="1511" w:type="dxa"/>
            <w:vAlign w:val="center"/>
          </w:tcPr>
          <w:p w14:paraId="5768ED2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6F5F61F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9.7</w:t>
            </w:r>
          </w:p>
        </w:tc>
        <w:tc>
          <w:tcPr>
            <w:tcW w:w="1361" w:type="dxa"/>
            <w:vAlign w:val="center"/>
          </w:tcPr>
          <w:p w14:paraId="393EF8C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363" w:type="dxa"/>
            <w:vAlign w:val="center"/>
          </w:tcPr>
          <w:p w14:paraId="3FDBE53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14.2</w:t>
            </w:r>
          </w:p>
        </w:tc>
        <w:tc>
          <w:tcPr>
            <w:tcW w:w="1021" w:type="dxa"/>
            <w:vAlign w:val="center"/>
          </w:tcPr>
          <w:p w14:paraId="71F4EB1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105" w:type="dxa"/>
            <w:vAlign w:val="center"/>
          </w:tcPr>
          <w:p w14:paraId="5BEB73B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</w:t>
            </w:r>
          </w:p>
        </w:tc>
        <w:tc>
          <w:tcPr>
            <w:tcW w:w="1172" w:type="dxa"/>
            <w:vAlign w:val="center"/>
          </w:tcPr>
          <w:p w14:paraId="72C44E9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97.7</w:t>
            </w:r>
          </w:p>
        </w:tc>
        <w:tc>
          <w:tcPr>
            <w:tcW w:w="1096" w:type="dxa"/>
            <w:vAlign w:val="center"/>
          </w:tcPr>
          <w:p w14:paraId="7008A9E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</w:p>
        </w:tc>
      </w:tr>
      <w:tr w:rsidR="00ED2520" w14:paraId="4B9195B8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073FB37C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31D54E8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73" w:type="dxa"/>
            <w:vAlign w:val="center"/>
          </w:tcPr>
          <w:p w14:paraId="5F333B0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黄色膏体</w:t>
            </w:r>
          </w:p>
        </w:tc>
        <w:tc>
          <w:tcPr>
            <w:tcW w:w="1511" w:type="dxa"/>
            <w:vAlign w:val="center"/>
          </w:tcPr>
          <w:p w14:paraId="4B6C8A8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1E0A669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</w:t>
            </w:r>
          </w:p>
        </w:tc>
        <w:tc>
          <w:tcPr>
            <w:tcW w:w="1361" w:type="dxa"/>
            <w:vAlign w:val="center"/>
          </w:tcPr>
          <w:p w14:paraId="100E354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363" w:type="dxa"/>
            <w:vAlign w:val="center"/>
          </w:tcPr>
          <w:p w14:paraId="0C1F964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16.5</w:t>
            </w:r>
          </w:p>
        </w:tc>
        <w:tc>
          <w:tcPr>
            <w:tcW w:w="1021" w:type="dxa"/>
            <w:vAlign w:val="center"/>
          </w:tcPr>
          <w:p w14:paraId="32D4EA5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105" w:type="dxa"/>
            <w:vAlign w:val="center"/>
          </w:tcPr>
          <w:p w14:paraId="2D2E456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172" w:type="dxa"/>
            <w:vAlign w:val="center"/>
          </w:tcPr>
          <w:p w14:paraId="63292C5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97.0</w:t>
            </w:r>
          </w:p>
        </w:tc>
        <w:tc>
          <w:tcPr>
            <w:tcW w:w="1096" w:type="dxa"/>
            <w:vAlign w:val="center"/>
          </w:tcPr>
          <w:p w14:paraId="3D9656E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ED2520" w14:paraId="5F183DA2" w14:textId="77777777">
        <w:trPr>
          <w:trHeight w:val="370"/>
        </w:trPr>
        <w:tc>
          <w:tcPr>
            <w:tcW w:w="826" w:type="dxa"/>
            <w:vMerge/>
            <w:vAlign w:val="center"/>
          </w:tcPr>
          <w:p w14:paraId="2B298298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7283D76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73" w:type="dxa"/>
            <w:vAlign w:val="center"/>
          </w:tcPr>
          <w:p w14:paraId="46EAC67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黄色膏体</w:t>
            </w:r>
          </w:p>
        </w:tc>
        <w:tc>
          <w:tcPr>
            <w:tcW w:w="1511" w:type="dxa"/>
            <w:vAlign w:val="center"/>
          </w:tcPr>
          <w:p w14:paraId="37CC5A1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5A8C0D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9.9</w:t>
            </w:r>
          </w:p>
        </w:tc>
        <w:tc>
          <w:tcPr>
            <w:tcW w:w="1361" w:type="dxa"/>
            <w:vAlign w:val="center"/>
          </w:tcPr>
          <w:p w14:paraId="25FA5FC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363" w:type="dxa"/>
            <w:vAlign w:val="center"/>
          </w:tcPr>
          <w:p w14:paraId="113847A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9.8</w:t>
            </w:r>
          </w:p>
        </w:tc>
        <w:tc>
          <w:tcPr>
            <w:tcW w:w="1021" w:type="dxa"/>
            <w:vAlign w:val="center"/>
          </w:tcPr>
          <w:p w14:paraId="3722AC8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1105" w:type="dxa"/>
            <w:vAlign w:val="center"/>
          </w:tcPr>
          <w:p w14:paraId="4840F04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0.7</w:t>
            </w:r>
          </w:p>
        </w:tc>
        <w:tc>
          <w:tcPr>
            <w:tcW w:w="1172" w:type="dxa"/>
            <w:vAlign w:val="center"/>
          </w:tcPr>
          <w:p w14:paraId="7E4FF4E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98.0</w:t>
            </w:r>
          </w:p>
        </w:tc>
        <w:tc>
          <w:tcPr>
            <w:tcW w:w="1096" w:type="dxa"/>
            <w:vAlign w:val="center"/>
          </w:tcPr>
          <w:p w14:paraId="5C73BCA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76</w:t>
            </w:r>
          </w:p>
        </w:tc>
      </w:tr>
      <w:tr w:rsidR="00ED2520" w14:paraId="1093CD83" w14:textId="77777777">
        <w:trPr>
          <w:trHeight w:val="370"/>
        </w:trPr>
        <w:tc>
          <w:tcPr>
            <w:tcW w:w="13036" w:type="dxa"/>
            <w:gridSpan w:val="11"/>
            <w:vAlign w:val="center"/>
          </w:tcPr>
          <w:p w14:paraId="4001653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B</w:t>
            </w:r>
            <w:r>
              <w:rPr>
                <w:rFonts w:hint="eastAsia"/>
                <w:b/>
                <w:bCs/>
                <w:sz w:val="18"/>
                <w:szCs w:val="18"/>
              </w:rPr>
              <w:t>型</w:t>
            </w:r>
          </w:p>
        </w:tc>
      </w:tr>
      <w:tr w:rsidR="00ED2520" w14:paraId="3D08B601" w14:textId="77777777">
        <w:trPr>
          <w:trHeight w:val="610"/>
        </w:trPr>
        <w:tc>
          <w:tcPr>
            <w:tcW w:w="826" w:type="dxa"/>
            <w:vAlign w:val="center"/>
          </w:tcPr>
          <w:p w14:paraId="113FE3B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企业</w:t>
            </w:r>
          </w:p>
        </w:tc>
        <w:tc>
          <w:tcPr>
            <w:tcW w:w="653" w:type="dxa"/>
            <w:vAlign w:val="center"/>
          </w:tcPr>
          <w:p w14:paraId="5B0FEE7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批号</w:t>
            </w:r>
          </w:p>
        </w:tc>
        <w:tc>
          <w:tcPr>
            <w:tcW w:w="1273" w:type="dxa"/>
            <w:vAlign w:val="center"/>
          </w:tcPr>
          <w:p w14:paraId="0D3C6FA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外观（</w:t>
            </w:r>
            <w:r>
              <w:rPr>
                <w:sz w:val="18"/>
                <w:szCs w:val="18"/>
              </w:rPr>
              <w:t>25℃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511" w:type="dxa"/>
            <w:vAlign w:val="center"/>
          </w:tcPr>
          <w:p w14:paraId="6293148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气味</w:t>
            </w:r>
          </w:p>
        </w:tc>
        <w:tc>
          <w:tcPr>
            <w:tcW w:w="1655" w:type="dxa"/>
            <w:vAlign w:val="center"/>
          </w:tcPr>
          <w:p w14:paraId="3F87833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5%</w:t>
            </w:r>
            <w:r>
              <w:rPr>
                <w:sz w:val="18"/>
                <w:szCs w:val="18"/>
              </w:rPr>
              <w:t>甲醇水溶液）</w:t>
            </w:r>
          </w:p>
        </w:tc>
        <w:tc>
          <w:tcPr>
            <w:tcW w:w="1361" w:type="dxa"/>
            <w:vAlign w:val="center"/>
          </w:tcPr>
          <w:p w14:paraId="4CC1BEB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色泽（</w:t>
            </w:r>
            <w:r>
              <w:rPr>
                <w:sz w:val="18"/>
                <w:szCs w:val="18"/>
              </w:rPr>
              <w:t>Hazen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363" w:type="dxa"/>
            <w:vAlign w:val="center"/>
          </w:tcPr>
          <w:p w14:paraId="3FBDE48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胺值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mgKOH/g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021" w:type="dxa"/>
            <w:vAlign w:val="center"/>
          </w:tcPr>
          <w:p w14:paraId="72F58A9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甘油</w:t>
            </w:r>
          </w:p>
          <w:p w14:paraId="50D220B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05" w:type="dxa"/>
            <w:vAlign w:val="center"/>
          </w:tcPr>
          <w:p w14:paraId="283CE05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水分</w:t>
            </w:r>
          </w:p>
          <w:p w14:paraId="42786D9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72" w:type="dxa"/>
            <w:vAlign w:val="center"/>
          </w:tcPr>
          <w:p w14:paraId="2110DB8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活性物含量</w:t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096" w:type="dxa"/>
            <w:vAlign w:val="center"/>
          </w:tcPr>
          <w:p w14:paraId="1EC1865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甲醇含量</w:t>
            </w:r>
          </w:p>
          <w:p w14:paraId="014B33A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mg/kg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ED2520" w14:paraId="7E4C509D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123B0A4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企业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653" w:type="dxa"/>
            <w:vAlign w:val="center"/>
          </w:tcPr>
          <w:p w14:paraId="7E05F06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44E56D0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309365F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1BB0A0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1" w:type="dxa"/>
            <w:vAlign w:val="center"/>
          </w:tcPr>
          <w:p w14:paraId="1F7C4D7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269</w:t>
            </w:r>
          </w:p>
        </w:tc>
        <w:tc>
          <w:tcPr>
            <w:tcW w:w="1363" w:type="dxa"/>
            <w:vAlign w:val="center"/>
          </w:tcPr>
          <w:p w14:paraId="7EB58EE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9.3</w:t>
            </w:r>
          </w:p>
        </w:tc>
        <w:tc>
          <w:tcPr>
            <w:tcW w:w="1021" w:type="dxa"/>
            <w:vAlign w:val="center"/>
          </w:tcPr>
          <w:p w14:paraId="1638DDC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05" w:type="dxa"/>
            <w:vAlign w:val="center"/>
          </w:tcPr>
          <w:p w14:paraId="1EA0363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1172" w:type="dxa"/>
            <w:vAlign w:val="center"/>
          </w:tcPr>
          <w:p w14:paraId="034CB48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78" w:name="_Toc24026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bookmarkEnd w:id="78"/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96" w:type="dxa"/>
            <w:vAlign w:val="center"/>
          </w:tcPr>
          <w:p w14:paraId="30B72D2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</w:tr>
      <w:tr w:rsidR="00ED2520" w14:paraId="7675206F" w14:textId="77777777">
        <w:trPr>
          <w:trHeight w:val="368"/>
        </w:trPr>
        <w:tc>
          <w:tcPr>
            <w:tcW w:w="826" w:type="dxa"/>
            <w:vMerge/>
            <w:vAlign w:val="center"/>
          </w:tcPr>
          <w:p w14:paraId="50BD9C42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1520685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174ECB3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44D5A929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53C750A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61" w:type="dxa"/>
            <w:vAlign w:val="center"/>
          </w:tcPr>
          <w:p w14:paraId="206CF5F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207</w:t>
            </w:r>
          </w:p>
        </w:tc>
        <w:tc>
          <w:tcPr>
            <w:tcW w:w="1363" w:type="dxa"/>
            <w:vAlign w:val="center"/>
          </w:tcPr>
          <w:p w14:paraId="0F242D5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21" w:type="dxa"/>
            <w:vAlign w:val="center"/>
          </w:tcPr>
          <w:p w14:paraId="79ED2A9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05" w:type="dxa"/>
            <w:vAlign w:val="center"/>
          </w:tcPr>
          <w:p w14:paraId="1A86D81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421CB4E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79" w:name="_Toc6239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2</w:t>
            </w:r>
            <w:bookmarkEnd w:id="79"/>
          </w:p>
        </w:tc>
        <w:tc>
          <w:tcPr>
            <w:tcW w:w="1096" w:type="dxa"/>
            <w:vAlign w:val="center"/>
          </w:tcPr>
          <w:p w14:paraId="62551E3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</w:tr>
      <w:tr w:rsidR="00ED2520" w14:paraId="393191DD" w14:textId="77777777">
        <w:trPr>
          <w:trHeight w:val="378"/>
        </w:trPr>
        <w:tc>
          <w:tcPr>
            <w:tcW w:w="826" w:type="dxa"/>
            <w:vMerge/>
            <w:vAlign w:val="center"/>
          </w:tcPr>
          <w:p w14:paraId="066A3737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33D4FA3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0C90FE6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317BB19F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159E73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61" w:type="dxa"/>
            <w:vAlign w:val="center"/>
          </w:tcPr>
          <w:p w14:paraId="2107391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273</w:t>
            </w:r>
          </w:p>
        </w:tc>
        <w:tc>
          <w:tcPr>
            <w:tcW w:w="1363" w:type="dxa"/>
            <w:vAlign w:val="center"/>
          </w:tcPr>
          <w:p w14:paraId="2D26E02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47732BF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105" w:type="dxa"/>
            <w:vAlign w:val="center"/>
          </w:tcPr>
          <w:p w14:paraId="286A61B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1434AD0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0" w:name="_Toc16581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8</w:t>
            </w:r>
            <w:bookmarkEnd w:id="80"/>
          </w:p>
        </w:tc>
        <w:tc>
          <w:tcPr>
            <w:tcW w:w="1096" w:type="dxa"/>
            <w:vAlign w:val="center"/>
          </w:tcPr>
          <w:p w14:paraId="43DE10A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</w:tr>
      <w:tr w:rsidR="00ED2520" w14:paraId="1CFB82EC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3DB591CB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79A6EFA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3" w:type="dxa"/>
            <w:vAlign w:val="center"/>
          </w:tcPr>
          <w:p w14:paraId="14451B3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3A31A0FD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1CF9D07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61" w:type="dxa"/>
            <w:vAlign w:val="center"/>
          </w:tcPr>
          <w:p w14:paraId="36C04FA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3" w:type="dxa"/>
            <w:vAlign w:val="center"/>
          </w:tcPr>
          <w:p w14:paraId="0ABCD0B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1021" w:type="dxa"/>
            <w:vAlign w:val="center"/>
          </w:tcPr>
          <w:p w14:paraId="08A02A3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  <w:tc>
          <w:tcPr>
            <w:tcW w:w="1105" w:type="dxa"/>
            <w:vAlign w:val="center"/>
          </w:tcPr>
          <w:p w14:paraId="0381489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1172" w:type="dxa"/>
            <w:vAlign w:val="center"/>
          </w:tcPr>
          <w:p w14:paraId="11CBA2C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1" w:name="_Toc10080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bookmarkEnd w:id="81"/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96" w:type="dxa"/>
            <w:vAlign w:val="center"/>
          </w:tcPr>
          <w:p w14:paraId="4C315E4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ED2520" w14:paraId="3452EB32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77DA4E21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0CF4434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3" w:type="dxa"/>
            <w:vAlign w:val="center"/>
          </w:tcPr>
          <w:p w14:paraId="11C49A1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3E57FB6F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5055A91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361" w:type="dxa"/>
            <w:vAlign w:val="center"/>
          </w:tcPr>
          <w:p w14:paraId="0143BF8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243</w:t>
            </w:r>
          </w:p>
        </w:tc>
        <w:tc>
          <w:tcPr>
            <w:tcW w:w="1363" w:type="dxa"/>
            <w:vAlign w:val="center"/>
          </w:tcPr>
          <w:p w14:paraId="1F185DE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1021" w:type="dxa"/>
            <w:vAlign w:val="center"/>
          </w:tcPr>
          <w:p w14:paraId="04D79DC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05" w:type="dxa"/>
            <w:vAlign w:val="center"/>
          </w:tcPr>
          <w:p w14:paraId="5ECB6F2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3D742DA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2" w:name="_Toc23831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bookmarkEnd w:id="82"/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14:paraId="2D08593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76</w:t>
            </w:r>
          </w:p>
        </w:tc>
      </w:tr>
      <w:tr w:rsidR="00ED2520" w14:paraId="5C62F5AE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6C15A5B1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158270E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73" w:type="dxa"/>
            <w:vAlign w:val="center"/>
          </w:tcPr>
          <w:p w14:paraId="48326CFE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18C17A7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0674312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61" w:type="dxa"/>
            <w:vAlign w:val="center"/>
          </w:tcPr>
          <w:p w14:paraId="328F0DB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228</w:t>
            </w:r>
          </w:p>
        </w:tc>
        <w:tc>
          <w:tcPr>
            <w:tcW w:w="1363" w:type="dxa"/>
            <w:vAlign w:val="center"/>
          </w:tcPr>
          <w:p w14:paraId="350F2B0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21F2B92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05" w:type="dxa"/>
            <w:vAlign w:val="center"/>
          </w:tcPr>
          <w:p w14:paraId="77B618E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1FE6734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3" w:name="_Toc9355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bookmarkEnd w:id="83"/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96" w:type="dxa"/>
            <w:vAlign w:val="center"/>
          </w:tcPr>
          <w:p w14:paraId="66E0E2A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ED2520" w14:paraId="7AE0548D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5B780115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25CE598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73" w:type="dxa"/>
            <w:vAlign w:val="center"/>
          </w:tcPr>
          <w:p w14:paraId="784E1E4E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67ED9D5B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1BA923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10.5</w:t>
            </w:r>
          </w:p>
        </w:tc>
        <w:tc>
          <w:tcPr>
            <w:tcW w:w="1361" w:type="dxa"/>
            <w:vAlign w:val="center"/>
          </w:tcPr>
          <w:p w14:paraId="0D87050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210</w:t>
            </w:r>
          </w:p>
        </w:tc>
        <w:tc>
          <w:tcPr>
            <w:tcW w:w="1363" w:type="dxa"/>
            <w:vAlign w:val="center"/>
          </w:tcPr>
          <w:p w14:paraId="0FD8528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21" w:type="dxa"/>
            <w:vAlign w:val="center"/>
          </w:tcPr>
          <w:p w14:paraId="78E2EA5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</w:t>
            </w:r>
          </w:p>
        </w:tc>
        <w:tc>
          <w:tcPr>
            <w:tcW w:w="1105" w:type="dxa"/>
            <w:vAlign w:val="center"/>
          </w:tcPr>
          <w:p w14:paraId="344521F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1172" w:type="dxa"/>
            <w:vAlign w:val="center"/>
          </w:tcPr>
          <w:p w14:paraId="5B35AFA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4" w:name="_Toc25812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bookmarkEnd w:id="84"/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14:paraId="35A0F4E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</w:tr>
      <w:tr w:rsidR="00ED2520" w14:paraId="09382E21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0B18911F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8841B5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3" w:type="dxa"/>
            <w:vAlign w:val="center"/>
          </w:tcPr>
          <w:p w14:paraId="0F18D017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45F3B7C8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1DE3AB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361" w:type="dxa"/>
            <w:vAlign w:val="center"/>
          </w:tcPr>
          <w:p w14:paraId="357E534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269</w:t>
            </w:r>
          </w:p>
        </w:tc>
        <w:tc>
          <w:tcPr>
            <w:tcW w:w="1363" w:type="dxa"/>
            <w:vAlign w:val="center"/>
          </w:tcPr>
          <w:p w14:paraId="4A4D560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11.2</w:t>
            </w:r>
          </w:p>
        </w:tc>
        <w:tc>
          <w:tcPr>
            <w:tcW w:w="1021" w:type="dxa"/>
            <w:vAlign w:val="center"/>
          </w:tcPr>
          <w:p w14:paraId="13EA543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05" w:type="dxa"/>
            <w:vAlign w:val="center"/>
          </w:tcPr>
          <w:p w14:paraId="1FAC82C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38215E1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5" w:name="_Toc11965"/>
            <w:r>
              <w:rPr>
                <w:sz w:val="18"/>
                <w:szCs w:val="18"/>
              </w:rPr>
              <w:t>88.</w:t>
            </w:r>
            <w:bookmarkEnd w:id="85"/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96" w:type="dxa"/>
            <w:vAlign w:val="center"/>
          </w:tcPr>
          <w:p w14:paraId="732262E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99</w:t>
            </w:r>
          </w:p>
        </w:tc>
      </w:tr>
      <w:tr w:rsidR="00ED2520" w14:paraId="480A38EA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4B4E5A1D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17E3F83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3" w:type="dxa"/>
            <w:vAlign w:val="center"/>
          </w:tcPr>
          <w:p w14:paraId="1FB6C647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41E15946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D2AB73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1" w:type="dxa"/>
            <w:vAlign w:val="center"/>
          </w:tcPr>
          <w:p w14:paraId="6AC351D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214</w:t>
            </w:r>
          </w:p>
        </w:tc>
        <w:tc>
          <w:tcPr>
            <w:tcW w:w="1363" w:type="dxa"/>
            <w:vAlign w:val="center"/>
          </w:tcPr>
          <w:p w14:paraId="6228241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12.0</w:t>
            </w:r>
          </w:p>
        </w:tc>
        <w:tc>
          <w:tcPr>
            <w:tcW w:w="1021" w:type="dxa"/>
            <w:vAlign w:val="center"/>
          </w:tcPr>
          <w:p w14:paraId="38FD3E8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9.5</w:t>
            </w:r>
          </w:p>
        </w:tc>
        <w:tc>
          <w:tcPr>
            <w:tcW w:w="1105" w:type="dxa"/>
            <w:vAlign w:val="center"/>
          </w:tcPr>
          <w:p w14:paraId="665589E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7A98453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6" w:name="_Toc1189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bookmarkEnd w:id="86"/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96" w:type="dxa"/>
            <w:vAlign w:val="center"/>
          </w:tcPr>
          <w:p w14:paraId="3EA4818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</w:t>
            </w:r>
          </w:p>
        </w:tc>
      </w:tr>
      <w:tr w:rsidR="00ED2520" w14:paraId="317F3C10" w14:textId="77777777">
        <w:trPr>
          <w:trHeight w:val="90"/>
        </w:trPr>
        <w:tc>
          <w:tcPr>
            <w:tcW w:w="826" w:type="dxa"/>
            <w:vMerge/>
            <w:vAlign w:val="center"/>
          </w:tcPr>
          <w:p w14:paraId="4B36422C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7B9571A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3" w:type="dxa"/>
            <w:vAlign w:val="center"/>
          </w:tcPr>
          <w:p w14:paraId="2F36853D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9A24003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407E9E8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10.6</w:t>
            </w:r>
          </w:p>
        </w:tc>
        <w:tc>
          <w:tcPr>
            <w:tcW w:w="1361" w:type="dxa"/>
            <w:vAlign w:val="center"/>
          </w:tcPr>
          <w:p w14:paraId="5494D9B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306</w:t>
            </w:r>
          </w:p>
        </w:tc>
        <w:tc>
          <w:tcPr>
            <w:tcW w:w="1363" w:type="dxa"/>
            <w:vAlign w:val="center"/>
          </w:tcPr>
          <w:p w14:paraId="6D721E0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7.9</w:t>
            </w:r>
          </w:p>
        </w:tc>
        <w:tc>
          <w:tcPr>
            <w:tcW w:w="1021" w:type="dxa"/>
            <w:vAlign w:val="center"/>
          </w:tcPr>
          <w:p w14:paraId="4DF78BE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9.7</w:t>
            </w:r>
          </w:p>
        </w:tc>
        <w:tc>
          <w:tcPr>
            <w:tcW w:w="1105" w:type="dxa"/>
            <w:vAlign w:val="center"/>
          </w:tcPr>
          <w:p w14:paraId="2CBED2C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2FA9803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7" w:name="_Toc11315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bookmarkEnd w:id="87"/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14:paraId="14A8F9A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</w:tr>
      <w:tr w:rsidR="00ED2520" w14:paraId="686082F1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792FFFF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53" w:type="dxa"/>
            <w:vAlign w:val="center"/>
          </w:tcPr>
          <w:p w14:paraId="417B6B8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36D87734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2961CDF9" w14:textId="77777777" w:rsidR="00ED2520" w:rsidRDefault="00000000">
            <w:pPr>
              <w:spacing w:line="360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827994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10.0</w:t>
            </w:r>
          </w:p>
        </w:tc>
        <w:tc>
          <w:tcPr>
            <w:tcW w:w="1361" w:type="dxa"/>
            <w:vAlign w:val="center"/>
          </w:tcPr>
          <w:p w14:paraId="122F3D9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269</w:t>
            </w:r>
          </w:p>
        </w:tc>
        <w:tc>
          <w:tcPr>
            <w:tcW w:w="1363" w:type="dxa"/>
            <w:vAlign w:val="center"/>
          </w:tcPr>
          <w:p w14:paraId="395B723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7.5</w:t>
            </w:r>
          </w:p>
        </w:tc>
        <w:tc>
          <w:tcPr>
            <w:tcW w:w="1021" w:type="dxa"/>
            <w:vAlign w:val="center"/>
          </w:tcPr>
          <w:p w14:paraId="0438D0E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</w:t>
            </w:r>
          </w:p>
        </w:tc>
        <w:tc>
          <w:tcPr>
            <w:tcW w:w="1105" w:type="dxa"/>
            <w:vAlign w:val="center"/>
          </w:tcPr>
          <w:p w14:paraId="12B3784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72" w:type="dxa"/>
            <w:vAlign w:val="center"/>
          </w:tcPr>
          <w:p w14:paraId="0A1AECE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8" w:name="_Toc11559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bookmarkEnd w:id="88"/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14:paraId="45FF25F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1067</w:t>
            </w:r>
          </w:p>
        </w:tc>
      </w:tr>
      <w:tr w:rsidR="00ED2520" w14:paraId="5975A560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598C4E50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76A5291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3925D230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7AFD40E5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60AF79A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10.3</w:t>
            </w:r>
          </w:p>
        </w:tc>
        <w:tc>
          <w:tcPr>
            <w:tcW w:w="1361" w:type="dxa"/>
            <w:vAlign w:val="center"/>
          </w:tcPr>
          <w:p w14:paraId="46DA6A8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148</w:t>
            </w:r>
          </w:p>
        </w:tc>
        <w:tc>
          <w:tcPr>
            <w:tcW w:w="1363" w:type="dxa"/>
            <w:vAlign w:val="center"/>
          </w:tcPr>
          <w:p w14:paraId="4434E69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3C7E7E1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9.7</w:t>
            </w:r>
          </w:p>
        </w:tc>
        <w:tc>
          <w:tcPr>
            <w:tcW w:w="1105" w:type="dxa"/>
            <w:vAlign w:val="center"/>
          </w:tcPr>
          <w:p w14:paraId="5BB7959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1172" w:type="dxa"/>
            <w:vAlign w:val="center"/>
          </w:tcPr>
          <w:p w14:paraId="2CF290E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89" w:name="_Toc10531"/>
            <w:r>
              <w:rPr>
                <w:sz w:val="18"/>
                <w:szCs w:val="18"/>
              </w:rPr>
              <w:t>88.</w:t>
            </w:r>
            <w:bookmarkEnd w:id="89"/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14:paraId="70ADDFF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1194</w:t>
            </w:r>
          </w:p>
        </w:tc>
      </w:tr>
      <w:tr w:rsidR="00ED2520" w14:paraId="2089B964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115638F5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33D3C3C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5E099828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311F1697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10B2737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1361" w:type="dxa"/>
            <w:vAlign w:val="center"/>
          </w:tcPr>
          <w:p w14:paraId="2903DF6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236</w:t>
            </w:r>
          </w:p>
        </w:tc>
        <w:tc>
          <w:tcPr>
            <w:tcW w:w="1363" w:type="dxa"/>
            <w:vAlign w:val="center"/>
          </w:tcPr>
          <w:p w14:paraId="149DC64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7.8</w:t>
            </w:r>
          </w:p>
        </w:tc>
        <w:tc>
          <w:tcPr>
            <w:tcW w:w="1021" w:type="dxa"/>
            <w:vAlign w:val="center"/>
          </w:tcPr>
          <w:p w14:paraId="03CCB8E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105" w:type="dxa"/>
            <w:vAlign w:val="center"/>
          </w:tcPr>
          <w:p w14:paraId="5FDD923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72" w:type="dxa"/>
            <w:vAlign w:val="center"/>
          </w:tcPr>
          <w:p w14:paraId="523E1E5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0" w:name="_Toc18328"/>
            <w:r>
              <w:rPr>
                <w:sz w:val="18"/>
                <w:szCs w:val="18"/>
              </w:rPr>
              <w:t>88.</w:t>
            </w:r>
            <w:bookmarkEnd w:id="90"/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96" w:type="dxa"/>
            <w:vAlign w:val="center"/>
          </w:tcPr>
          <w:p w14:paraId="341EE6D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1852</w:t>
            </w:r>
          </w:p>
        </w:tc>
      </w:tr>
      <w:tr w:rsidR="00ED2520" w14:paraId="5D31800C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5E9A0685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55F90A4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3" w:type="dxa"/>
            <w:vAlign w:val="center"/>
          </w:tcPr>
          <w:p w14:paraId="4E0D6B6A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73DE9EDE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E8190E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361" w:type="dxa"/>
            <w:vAlign w:val="center"/>
          </w:tcPr>
          <w:p w14:paraId="0BA1ABB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258</w:t>
            </w:r>
          </w:p>
        </w:tc>
        <w:tc>
          <w:tcPr>
            <w:tcW w:w="1363" w:type="dxa"/>
            <w:vAlign w:val="center"/>
          </w:tcPr>
          <w:p w14:paraId="544465B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9.4</w:t>
            </w:r>
          </w:p>
        </w:tc>
        <w:tc>
          <w:tcPr>
            <w:tcW w:w="1021" w:type="dxa"/>
            <w:vAlign w:val="center"/>
          </w:tcPr>
          <w:p w14:paraId="5EFFE59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</w:t>
            </w:r>
          </w:p>
        </w:tc>
        <w:tc>
          <w:tcPr>
            <w:tcW w:w="1105" w:type="dxa"/>
            <w:vAlign w:val="center"/>
          </w:tcPr>
          <w:p w14:paraId="1A17BB3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1B75A29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1" w:name="_Toc18472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bookmarkEnd w:id="91"/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96" w:type="dxa"/>
            <w:vAlign w:val="center"/>
          </w:tcPr>
          <w:p w14:paraId="0AEA650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1763</w:t>
            </w:r>
          </w:p>
        </w:tc>
      </w:tr>
      <w:tr w:rsidR="00ED2520" w14:paraId="73F61EFA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4F0A3E6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53" w:type="dxa"/>
            <w:vAlign w:val="center"/>
          </w:tcPr>
          <w:p w14:paraId="5708BA6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04E4CC9B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88A0417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41CBBF8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</w:t>
            </w:r>
          </w:p>
        </w:tc>
        <w:tc>
          <w:tcPr>
            <w:tcW w:w="1361" w:type="dxa"/>
            <w:vAlign w:val="center"/>
          </w:tcPr>
          <w:p w14:paraId="407F310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126</w:t>
            </w:r>
          </w:p>
        </w:tc>
        <w:tc>
          <w:tcPr>
            <w:tcW w:w="1363" w:type="dxa"/>
            <w:vAlign w:val="center"/>
          </w:tcPr>
          <w:p w14:paraId="6A87A51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7.5</w:t>
            </w:r>
          </w:p>
        </w:tc>
        <w:tc>
          <w:tcPr>
            <w:tcW w:w="1021" w:type="dxa"/>
            <w:vAlign w:val="center"/>
          </w:tcPr>
          <w:p w14:paraId="70D63AC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05" w:type="dxa"/>
            <w:vAlign w:val="center"/>
          </w:tcPr>
          <w:p w14:paraId="6598C33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3085414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88.8</w:t>
            </w:r>
          </w:p>
        </w:tc>
        <w:tc>
          <w:tcPr>
            <w:tcW w:w="1096" w:type="dxa"/>
            <w:vAlign w:val="center"/>
          </w:tcPr>
          <w:p w14:paraId="03266B7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99</w:t>
            </w:r>
          </w:p>
        </w:tc>
      </w:tr>
      <w:tr w:rsidR="00ED2520" w14:paraId="2C7E41BA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440F6019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1CE672A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4FC85245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308FB5B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1A9FA72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361" w:type="dxa"/>
            <w:vAlign w:val="center"/>
          </w:tcPr>
          <w:p w14:paraId="79DD505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</w:t>
            </w:r>
          </w:p>
        </w:tc>
        <w:tc>
          <w:tcPr>
            <w:tcW w:w="1363" w:type="dxa"/>
            <w:vAlign w:val="center"/>
          </w:tcPr>
          <w:p w14:paraId="3A61435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6.8</w:t>
            </w:r>
          </w:p>
        </w:tc>
        <w:tc>
          <w:tcPr>
            <w:tcW w:w="1021" w:type="dxa"/>
            <w:vAlign w:val="center"/>
          </w:tcPr>
          <w:p w14:paraId="40618A7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105" w:type="dxa"/>
            <w:vAlign w:val="center"/>
          </w:tcPr>
          <w:p w14:paraId="7909EEF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172" w:type="dxa"/>
            <w:vAlign w:val="center"/>
          </w:tcPr>
          <w:p w14:paraId="0D215D9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2" w:name="_Toc15108"/>
            <w:r>
              <w:rPr>
                <w:sz w:val="18"/>
                <w:szCs w:val="18"/>
              </w:rPr>
              <w:t>88.</w:t>
            </w:r>
            <w:bookmarkEnd w:id="92"/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96" w:type="dxa"/>
            <w:vAlign w:val="center"/>
          </w:tcPr>
          <w:p w14:paraId="5411087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210</w:t>
            </w:r>
          </w:p>
        </w:tc>
      </w:tr>
      <w:tr w:rsidR="00ED2520" w14:paraId="1714E608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02AC5284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27E6528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49F96801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0017C01D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A31D28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</w:t>
            </w:r>
          </w:p>
        </w:tc>
        <w:tc>
          <w:tcPr>
            <w:tcW w:w="1361" w:type="dxa"/>
            <w:vAlign w:val="center"/>
          </w:tcPr>
          <w:p w14:paraId="5466758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162</w:t>
            </w:r>
          </w:p>
        </w:tc>
        <w:tc>
          <w:tcPr>
            <w:tcW w:w="1363" w:type="dxa"/>
            <w:vAlign w:val="center"/>
          </w:tcPr>
          <w:p w14:paraId="79B6FC5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8.5</w:t>
            </w:r>
          </w:p>
        </w:tc>
        <w:tc>
          <w:tcPr>
            <w:tcW w:w="1021" w:type="dxa"/>
            <w:vAlign w:val="center"/>
          </w:tcPr>
          <w:p w14:paraId="7BFBF9C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  <w:tc>
          <w:tcPr>
            <w:tcW w:w="1105" w:type="dxa"/>
            <w:vAlign w:val="center"/>
          </w:tcPr>
          <w:p w14:paraId="0CA98B6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72" w:type="dxa"/>
            <w:vAlign w:val="center"/>
          </w:tcPr>
          <w:p w14:paraId="5F56A97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88.9</w:t>
            </w:r>
          </w:p>
        </w:tc>
        <w:tc>
          <w:tcPr>
            <w:tcW w:w="1096" w:type="dxa"/>
            <w:vAlign w:val="center"/>
          </w:tcPr>
          <w:p w14:paraId="1AB118E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245</w:t>
            </w:r>
          </w:p>
        </w:tc>
      </w:tr>
      <w:tr w:rsidR="00ED2520" w14:paraId="0F781F16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17C9766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53" w:type="dxa"/>
            <w:vAlign w:val="center"/>
          </w:tcPr>
          <w:p w14:paraId="26D041C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1E7872DF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0DDB86FE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9D677A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  <w:tc>
          <w:tcPr>
            <w:tcW w:w="1361" w:type="dxa"/>
            <w:vAlign w:val="center"/>
          </w:tcPr>
          <w:p w14:paraId="73B9BA3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363" w:type="dxa"/>
            <w:vAlign w:val="center"/>
          </w:tcPr>
          <w:p w14:paraId="372949F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21" w:type="dxa"/>
            <w:vAlign w:val="center"/>
          </w:tcPr>
          <w:p w14:paraId="4608345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05" w:type="dxa"/>
            <w:vAlign w:val="center"/>
          </w:tcPr>
          <w:p w14:paraId="43CDE29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4C7AE95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88.4</w:t>
            </w:r>
          </w:p>
        </w:tc>
        <w:tc>
          <w:tcPr>
            <w:tcW w:w="1096" w:type="dxa"/>
            <w:vAlign w:val="center"/>
          </w:tcPr>
          <w:p w14:paraId="2257703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1292</w:t>
            </w:r>
          </w:p>
        </w:tc>
      </w:tr>
      <w:tr w:rsidR="00ED2520" w14:paraId="4D4A123A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0E4D3835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371F8F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0669AA13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1EAE5C2B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212991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61" w:type="dxa"/>
            <w:vAlign w:val="center"/>
          </w:tcPr>
          <w:p w14:paraId="3E88CFE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1363" w:type="dxa"/>
            <w:vAlign w:val="center"/>
          </w:tcPr>
          <w:p w14:paraId="219D30C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21" w:type="dxa"/>
            <w:vAlign w:val="center"/>
          </w:tcPr>
          <w:p w14:paraId="26661EC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1105" w:type="dxa"/>
            <w:vAlign w:val="center"/>
          </w:tcPr>
          <w:p w14:paraId="36B7D79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45D69C2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88.5</w:t>
            </w:r>
          </w:p>
        </w:tc>
        <w:tc>
          <w:tcPr>
            <w:tcW w:w="1096" w:type="dxa"/>
            <w:vAlign w:val="center"/>
          </w:tcPr>
          <w:p w14:paraId="5530D43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814</w:t>
            </w:r>
          </w:p>
        </w:tc>
      </w:tr>
      <w:tr w:rsidR="00ED2520" w14:paraId="15E08236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2DAA2984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74077CC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5E49BCBF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4DDAD3E9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5F007A6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61" w:type="dxa"/>
            <w:vAlign w:val="center"/>
          </w:tcPr>
          <w:p w14:paraId="30644BF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08</w:t>
            </w:r>
          </w:p>
        </w:tc>
        <w:tc>
          <w:tcPr>
            <w:tcW w:w="1363" w:type="dxa"/>
            <w:vAlign w:val="center"/>
          </w:tcPr>
          <w:p w14:paraId="12C3CD7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7CAE8D5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05" w:type="dxa"/>
            <w:vAlign w:val="center"/>
          </w:tcPr>
          <w:p w14:paraId="4F725D5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2" w:type="dxa"/>
            <w:vAlign w:val="center"/>
          </w:tcPr>
          <w:p w14:paraId="7174895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88.1</w:t>
            </w:r>
          </w:p>
        </w:tc>
        <w:tc>
          <w:tcPr>
            <w:tcW w:w="1096" w:type="dxa"/>
            <w:vAlign w:val="center"/>
          </w:tcPr>
          <w:p w14:paraId="1EC565D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446</w:t>
            </w:r>
          </w:p>
        </w:tc>
      </w:tr>
      <w:tr w:rsidR="00ED2520" w14:paraId="7E462263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60EFFF5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53" w:type="dxa"/>
            <w:vAlign w:val="center"/>
          </w:tcPr>
          <w:p w14:paraId="7222E55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3FC56B2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13ABF575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46F457E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10.2</w:t>
            </w:r>
          </w:p>
        </w:tc>
        <w:tc>
          <w:tcPr>
            <w:tcW w:w="1361" w:type="dxa"/>
            <w:vAlign w:val="center"/>
          </w:tcPr>
          <w:p w14:paraId="26DC2C6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1363" w:type="dxa"/>
            <w:vAlign w:val="center"/>
          </w:tcPr>
          <w:p w14:paraId="67A13BB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9.0</w:t>
            </w:r>
          </w:p>
        </w:tc>
        <w:tc>
          <w:tcPr>
            <w:tcW w:w="1021" w:type="dxa"/>
            <w:vAlign w:val="center"/>
          </w:tcPr>
          <w:p w14:paraId="2F7BFD4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105" w:type="dxa"/>
            <w:vAlign w:val="center"/>
          </w:tcPr>
          <w:p w14:paraId="42B11A1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72" w:type="dxa"/>
            <w:vAlign w:val="center"/>
          </w:tcPr>
          <w:p w14:paraId="1F4290C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3" w:name="_Toc32547"/>
            <w:r>
              <w:rPr>
                <w:sz w:val="18"/>
                <w:szCs w:val="18"/>
              </w:rPr>
              <w:t>88.</w:t>
            </w:r>
            <w:bookmarkEnd w:id="93"/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14:paraId="57B9643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1467</w:t>
            </w:r>
          </w:p>
        </w:tc>
      </w:tr>
      <w:tr w:rsidR="00ED2520" w14:paraId="0C02F201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63A227B3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5ED9E20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67C21FB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1D483150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5987E8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1" w:type="dxa"/>
            <w:vAlign w:val="center"/>
          </w:tcPr>
          <w:p w14:paraId="763A471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61</w:t>
            </w:r>
          </w:p>
        </w:tc>
        <w:tc>
          <w:tcPr>
            <w:tcW w:w="1363" w:type="dxa"/>
            <w:vAlign w:val="center"/>
          </w:tcPr>
          <w:p w14:paraId="34C760E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21" w:type="dxa"/>
            <w:vAlign w:val="center"/>
          </w:tcPr>
          <w:p w14:paraId="5FDC71E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  <w:tc>
          <w:tcPr>
            <w:tcW w:w="1105" w:type="dxa"/>
            <w:vAlign w:val="center"/>
          </w:tcPr>
          <w:p w14:paraId="27098BE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3449A5A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4" w:name="_Toc12253"/>
            <w:r>
              <w:rPr>
                <w:sz w:val="18"/>
                <w:szCs w:val="18"/>
              </w:rPr>
              <w:t>88.</w:t>
            </w:r>
            <w:bookmarkEnd w:id="94"/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14:paraId="0864544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1678</w:t>
            </w:r>
          </w:p>
        </w:tc>
      </w:tr>
      <w:tr w:rsidR="00ED2520" w14:paraId="1D60C00C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680AD6A5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02D9605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6850DE3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016AA9B3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3FCF2D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61" w:type="dxa"/>
            <w:vAlign w:val="center"/>
          </w:tcPr>
          <w:p w14:paraId="49FD38D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1363" w:type="dxa"/>
            <w:vAlign w:val="center"/>
          </w:tcPr>
          <w:p w14:paraId="127B46F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1.3</w:t>
            </w:r>
          </w:p>
        </w:tc>
        <w:tc>
          <w:tcPr>
            <w:tcW w:w="1021" w:type="dxa"/>
            <w:vAlign w:val="center"/>
          </w:tcPr>
          <w:p w14:paraId="1E5EFD1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05" w:type="dxa"/>
            <w:vAlign w:val="center"/>
          </w:tcPr>
          <w:p w14:paraId="3D1F9F5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72" w:type="dxa"/>
            <w:vAlign w:val="center"/>
          </w:tcPr>
          <w:p w14:paraId="0130937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5" w:name="_Toc3968"/>
            <w:r>
              <w:rPr>
                <w:sz w:val="18"/>
                <w:szCs w:val="18"/>
              </w:rPr>
              <w:t>88.</w:t>
            </w:r>
            <w:bookmarkEnd w:id="95"/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14:paraId="3F96F5C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1352</w:t>
            </w:r>
          </w:p>
        </w:tc>
      </w:tr>
      <w:tr w:rsidR="00ED2520" w14:paraId="00E541A1" w14:textId="77777777">
        <w:trPr>
          <w:trHeight w:val="398"/>
        </w:trPr>
        <w:tc>
          <w:tcPr>
            <w:tcW w:w="826" w:type="dxa"/>
            <w:vMerge w:val="restart"/>
            <w:vAlign w:val="center"/>
          </w:tcPr>
          <w:p w14:paraId="23B453F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53" w:type="dxa"/>
            <w:vAlign w:val="center"/>
          </w:tcPr>
          <w:p w14:paraId="580703A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2022EE7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7723F152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8EDD4A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10.0</w:t>
            </w:r>
          </w:p>
        </w:tc>
        <w:tc>
          <w:tcPr>
            <w:tcW w:w="1361" w:type="dxa"/>
            <w:vAlign w:val="center"/>
          </w:tcPr>
          <w:p w14:paraId="170483F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285</w:t>
            </w:r>
          </w:p>
        </w:tc>
        <w:tc>
          <w:tcPr>
            <w:tcW w:w="1363" w:type="dxa"/>
            <w:vAlign w:val="center"/>
          </w:tcPr>
          <w:p w14:paraId="23470DB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</w:t>
            </w:r>
          </w:p>
        </w:tc>
        <w:tc>
          <w:tcPr>
            <w:tcW w:w="1021" w:type="dxa"/>
            <w:vAlign w:val="center"/>
          </w:tcPr>
          <w:p w14:paraId="77E5284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1105" w:type="dxa"/>
            <w:vAlign w:val="center"/>
          </w:tcPr>
          <w:p w14:paraId="2D46F1A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15B06C0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88.5</w:t>
            </w:r>
          </w:p>
        </w:tc>
        <w:tc>
          <w:tcPr>
            <w:tcW w:w="1096" w:type="dxa"/>
            <w:vAlign w:val="center"/>
          </w:tcPr>
          <w:p w14:paraId="2C2E224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1344</w:t>
            </w:r>
          </w:p>
        </w:tc>
      </w:tr>
      <w:tr w:rsidR="00ED2520" w14:paraId="6CB30A0D" w14:textId="77777777">
        <w:trPr>
          <w:trHeight w:val="358"/>
        </w:trPr>
        <w:tc>
          <w:tcPr>
            <w:tcW w:w="826" w:type="dxa"/>
            <w:vMerge/>
            <w:vAlign w:val="center"/>
          </w:tcPr>
          <w:p w14:paraId="7613766E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63B35BF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72DBD77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76E4D32E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4386705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10.4</w:t>
            </w:r>
          </w:p>
        </w:tc>
        <w:tc>
          <w:tcPr>
            <w:tcW w:w="1361" w:type="dxa"/>
            <w:vAlign w:val="center"/>
          </w:tcPr>
          <w:p w14:paraId="1790915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1363" w:type="dxa"/>
            <w:vAlign w:val="center"/>
          </w:tcPr>
          <w:p w14:paraId="2024D1B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3F8DE67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</w:t>
            </w:r>
          </w:p>
        </w:tc>
        <w:tc>
          <w:tcPr>
            <w:tcW w:w="1105" w:type="dxa"/>
            <w:vAlign w:val="center"/>
          </w:tcPr>
          <w:p w14:paraId="41CE672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72" w:type="dxa"/>
            <w:vAlign w:val="center"/>
          </w:tcPr>
          <w:p w14:paraId="2657FE7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88.3</w:t>
            </w:r>
          </w:p>
        </w:tc>
        <w:tc>
          <w:tcPr>
            <w:tcW w:w="1096" w:type="dxa"/>
            <w:vAlign w:val="center"/>
          </w:tcPr>
          <w:p w14:paraId="18C8DC2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1462</w:t>
            </w:r>
          </w:p>
        </w:tc>
      </w:tr>
      <w:tr w:rsidR="00ED2520" w14:paraId="75505522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2B9589E9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22D88CC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689DA60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02F73E6D" w14:textId="77777777" w:rsidR="00ED2520" w:rsidRDefault="00000000">
            <w:pPr>
              <w:spacing w:line="360" w:lineRule="auto"/>
              <w:jc w:val="center"/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622293F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10.0</w:t>
            </w:r>
          </w:p>
        </w:tc>
        <w:tc>
          <w:tcPr>
            <w:tcW w:w="1361" w:type="dxa"/>
            <w:vAlign w:val="center"/>
          </w:tcPr>
          <w:p w14:paraId="6392752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363" w:type="dxa"/>
            <w:vAlign w:val="center"/>
          </w:tcPr>
          <w:p w14:paraId="04A5E3B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10.1</w:t>
            </w:r>
          </w:p>
        </w:tc>
        <w:tc>
          <w:tcPr>
            <w:tcW w:w="1021" w:type="dxa"/>
            <w:vAlign w:val="center"/>
          </w:tcPr>
          <w:p w14:paraId="6B1CB47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05" w:type="dxa"/>
            <w:vAlign w:val="center"/>
          </w:tcPr>
          <w:p w14:paraId="47436DA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00D188D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88.7</w:t>
            </w:r>
          </w:p>
        </w:tc>
        <w:tc>
          <w:tcPr>
            <w:tcW w:w="1096" w:type="dxa"/>
            <w:vAlign w:val="center"/>
          </w:tcPr>
          <w:p w14:paraId="017B614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1247</w:t>
            </w:r>
          </w:p>
        </w:tc>
      </w:tr>
      <w:tr w:rsidR="00ED2520" w14:paraId="0276354C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25DEEB5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53" w:type="dxa"/>
            <w:vAlign w:val="center"/>
          </w:tcPr>
          <w:p w14:paraId="73F7BFD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0288C89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54844F5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2E50B4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61" w:type="dxa"/>
            <w:vAlign w:val="center"/>
          </w:tcPr>
          <w:p w14:paraId="57EDD27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1363" w:type="dxa"/>
            <w:vAlign w:val="center"/>
          </w:tcPr>
          <w:p w14:paraId="59B02A3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.4</w:t>
            </w:r>
          </w:p>
        </w:tc>
        <w:tc>
          <w:tcPr>
            <w:tcW w:w="1021" w:type="dxa"/>
            <w:vAlign w:val="center"/>
          </w:tcPr>
          <w:p w14:paraId="5650A45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05" w:type="dxa"/>
            <w:vAlign w:val="center"/>
          </w:tcPr>
          <w:p w14:paraId="6EBEBE4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72" w:type="dxa"/>
            <w:vAlign w:val="center"/>
          </w:tcPr>
          <w:p w14:paraId="2696ADF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88.1</w:t>
            </w:r>
          </w:p>
        </w:tc>
        <w:tc>
          <w:tcPr>
            <w:tcW w:w="1096" w:type="dxa"/>
            <w:vAlign w:val="center"/>
          </w:tcPr>
          <w:p w14:paraId="7D9CC67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</w:t>
            </w:r>
          </w:p>
        </w:tc>
      </w:tr>
      <w:tr w:rsidR="00ED2520" w14:paraId="35264A48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0BE7607B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66D072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5FB95EE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657A570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2169673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1" w:type="dxa"/>
            <w:vAlign w:val="center"/>
          </w:tcPr>
          <w:p w14:paraId="63AA2B6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3" w:type="dxa"/>
            <w:vAlign w:val="center"/>
          </w:tcPr>
          <w:p w14:paraId="125020F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15.2</w:t>
            </w:r>
          </w:p>
        </w:tc>
        <w:tc>
          <w:tcPr>
            <w:tcW w:w="1021" w:type="dxa"/>
            <w:vAlign w:val="center"/>
          </w:tcPr>
          <w:p w14:paraId="270DFBC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  <w:tc>
          <w:tcPr>
            <w:tcW w:w="1105" w:type="dxa"/>
            <w:vAlign w:val="center"/>
          </w:tcPr>
          <w:p w14:paraId="5E7FC1E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663F7E6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87.9</w:t>
            </w:r>
          </w:p>
        </w:tc>
        <w:tc>
          <w:tcPr>
            <w:tcW w:w="1096" w:type="dxa"/>
            <w:vAlign w:val="center"/>
          </w:tcPr>
          <w:p w14:paraId="2CE054E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168</w:t>
            </w:r>
          </w:p>
        </w:tc>
      </w:tr>
      <w:tr w:rsidR="00ED2520" w14:paraId="0F2EF00D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18FC8B9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53" w:type="dxa"/>
            <w:vAlign w:val="center"/>
          </w:tcPr>
          <w:p w14:paraId="2B84EF9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25E90AE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785390C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38E6658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1361" w:type="dxa"/>
            <w:vAlign w:val="center"/>
          </w:tcPr>
          <w:p w14:paraId="79D2E03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1363" w:type="dxa"/>
            <w:vAlign w:val="center"/>
          </w:tcPr>
          <w:p w14:paraId="29F0597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.9</w:t>
            </w:r>
          </w:p>
        </w:tc>
        <w:tc>
          <w:tcPr>
            <w:tcW w:w="1021" w:type="dxa"/>
            <w:vAlign w:val="center"/>
          </w:tcPr>
          <w:p w14:paraId="04A5597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</w:t>
            </w:r>
          </w:p>
        </w:tc>
        <w:tc>
          <w:tcPr>
            <w:tcW w:w="1105" w:type="dxa"/>
            <w:vAlign w:val="center"/>
          </w:tcPr>
          <w:p w14:paraId="5666E4C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72" w:type="dxa"/>
            <w:vAlign w:val="center"/>
          </w:tcPr>
          <w:p w14:paraId="4463945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6" w:name="_Toc2655"/>
            <w:r>
              <w:rPr>
                <w:sz w:val="18"/>
                <w:szCs w:val="18"/>
              </w:rPr>
              <w:t>88.</w:t>
            </w:r>
            <w:bookmarkEnd w:id="96"/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96" w:type="dxa"/>
            <w:vAlign w:val="center"/>
          </w:tcPr>
          <w:p w14:paraId="3B3F871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1208</w:t>
            </w:r>
          </w:p>
        </w:tc>
      </w:tr>
      <w:tr w:rsidR="00ED2520" w14:paraId="459972FA" w14:textId="77777777">
        <w:trPr>
          <w:trHeight w:val="410"/>
        </w:trPr>
        <w:tc>
          <w:tcPr>
            <w:tcW w:w="826" w:type="dxa"/>
            <w:vMerge/>
            <w:vAlign w:val="center"/>
          </w:tcPr>
          <w:p w14:paraId="16BBE304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100BE1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54891D3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黄色液</w:t>
            </w:r>
            <w:r>
              <w:rPr>
                <w:rFonts w:hint="eastAsia"/>
                <w:sz w:val="18"/>
                <w:szCs w:val="18"/>
              </w:rPr>
              <w:t>液</w:t>
            </w:r>
            <w:r>
              <w:rPr>
                <w:sz w:val="18"/>
                <w:szCs w:val="18"/>
              </w:rPr>
              <w:t>体</w:t>
            </w:r>
          </w:p>
        </w:tc>
        <w:tc>
          <w:tcPr>
            <w:tcW w:w="1511" w:type="dxa"/>
            <w:vAlign w:val="center"/>
          </w:tcPr>
          <w:p w14:paraId="2B32D54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582C8F6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61" w:type="dxa"/>
            <w:vAlign w:val="center"/>
          </w:tcPr>
          <w:p w14:paraId="4087673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75</w:t>
            </w:r>
          </w:p>
        </w:tc>
        <w:tc>
          <w:tcPr>
            <w:tcW w:w="1363" w:type="dxa"/>
            <w:vAlign w:val="center"/>
          </w:tcPr>
          <w:p w14:paraId="258FBDA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11.2</w:t>
            </w:r>
          </w:p>
        </w:tc>
        <w:tc>
          <w:tcPr>
            <w:tcW w:w="1021" w:type="dxa"/>
            <w:vAlign w:val="center"/>
          </w:tcPr>
          <w:p w14:paraId="166AFE7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</w:t>
            </w:r>
          </w:p>
        </w:tc>
        <w:tc>
          <w:tcPr>
            <w:tcW w:w="1105" w:type="dxa"/>
            <w:vAlign w:val="center"/>
          </w:tcPr>
          <w:p w14:paraId="21B001E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72" w:type="dxa"/>
            <w:vAlign w:val="center"/>
          </w:tcPr>
          <w:p w14:paraId="7846C8D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7" w:name="_Toc5705"/>
            <w:r>
              <w:rPr>
                <w:sz w:val="18"/>
                <w:szCs w:val="18"/>
              </w:rPr>
              <w:t>88.</w:t>
            </w:r>
            <w:bookmarkEnd w:id="97"/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96" w:type="dxa"/>
            <w:vAlign w:val="center"/>
          </w:tcPr>
          <w:p w14:paraId="4E9502C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1310</w:t>
            </w:r>
          </w:p>
        </w:tc>
      </w:tr>
      <w:tr w:rsidR="00ED2520" w14:paraId="4D5CFFD4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2ADCA80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企业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653" w:type="dxa"/>
            <w:vAlign w:val="center"/>
          </w:tcPr>
          <w:p w14:paraId="6E25F74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418BE1C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2E61E66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CD136C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10.4</w:t>
            </w:r>
          </w:p>
        </w:tc>
        <w:tc>
          <w:tcPr>
            <w:tcW w:w="1361" w:type="dxa"/>
            <w:vAlign w:val="center"/>
          </w:tcPr>
          <w:p w14:paraId="012FCBC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282</w:t>
            </w:r>
          </w:p>
        </w:tc>
        <w:tc>
          <w:tcPr>
            <w:tcW w:w="1363" w:type="dxa"/>
            <w:vAlign w:val="center"/>
          </w:tcPr>
          <w:p w14:paraId="21A8AC5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9.7</w:t>
            </w:r>
          </w:p>
        </w:tc>
        <w:tc>
          <w:tcPr>
            <w:tcW w:w="1021" w:type="dxa"/>
            <w:vAlign w:val="center"/>
          </w:tcPr>
          <w:p w14:paraId="5EE9524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10.5</w:t>
            </w:r>
          </w:p>
        </w:tc>
        <w:tc>
          <w:tcPr>
            <w:tcW w:w="1105" w:type="dxa"/>
            <w:vAlign w:val="center"/>
          </w:tcPr>
          <w:p w14:paraId="3806B27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73F87B3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8" w:name="_Toc4038"/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bookmarkEnd w:id="98"/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96" w:type="dxa"/>
            <w:vAlign w:val="center"/>
          </w:tcPr>
          <w:p w14:paraId="1E9B782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1056</w:t>
            </w:r>
          </w:p>
        </w:tc>
      </w:tr>
      <w:tr w:rsidR="00ED2520" w14:paraId="22092020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03CF406F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0E7A2B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115914E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2183A90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52F8337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361" w:type="dxa"/>
            <w:vAlign w:val="center"/>
          </w:tcPr>
          <w:p w14:paraId="16DBC98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247</w:t>
            </w:r>
          </w:p>
        </w:tc>
        <w:tc>
          <w:tcPr>
            <w:tcW w:w="1363" w:type="dxa"/>
            <w:vAlign w:val="center"/>
          </w:tcPr>
          <w:p w14:paraId="08CF23B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1021" w:type="dxa"/>
            <w:vAlign w:val="center"/>
          </w:tcPr>
          <w:p w14:paraId="0D9953D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10.3</w:t>
            </w:r>
          </w:p>
        </w:tc>
        <w:tc>
          <w:tcPr>
            <w:tcW w:w="1105" w:type="dxa"/>
            <w:vAlign w:val="center"/>
          </w:tcPr>
          <w:p w14:paraId="4E31E8F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72" w:type="dxa"/>
            <w:vAlign w:val="center"/>
          </w:tcPr>
          <w:p w14:paraId="6BC4579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99" w:name="_Toc9873"/>
            <w:r>
              <w:rPr>
                <w:sz w:val="18"/>
                <w:szCs w:val="18"/>
              </w:rPr>
              <w:t>8</w:t>
            </w:r>
            <w:bookmarkEnd w:id="99"/>
            <w:r>
              <w:rPr>
                <w:rFonts w:hint="eastAsia"/>
                <w:sz w:val="18"/>
                <w:szCs w:val="18"/>
              </w:rPr>
              <w:t>6.7</w:t>
            </w:r>
          </w:p>
        </w:tc>
        <w:tc>
          <w:tcPr>
            <w:tcW w:w="1096" w:type="dxa"/>
            <w:vAlign w:val="center"/>
          </w:tcPr>
          <w:p w14:paraId="6660938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992</w:t>
            </w:r>
          </w:p>
        </w:tc>
      </w:tr>
      <w:tr w:rsidR="00ED2520" w14:paraId="1BE6AC39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5322434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vAlign w:val="center"/>
          </w:tcPr>
          <w:p w14:paraId="647C5BA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11D4F37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318D790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1B69802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361" w:type="dxa"/>
            <w:vAlign w:val="center"/>
          </w:tcPr>
          <w:p w14:paraId="396613E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567</w:t>
            </w:r>
          </w:p>
        </w:tc>
        <w:tc>
          <w:tcPr>
            <w:tcW w:w="1363" w:type="dxa"/>
            <w:vAlign w:val="center"/>
          </w:tcPr>
          <w:p w14:paraId="1C15BC6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08E9026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9.7</w:t>
            </w:r>
          </w:p>
        </w:tc>
        <w:tc>
          <w:tcPr>
            <w:tcW w:w="1105" w:type="dxa"/>
            <w:vAlign w:val="center"/>
          </w:tcPr>
          <w:p w14:paraId="6E0DD42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72" w:type="dxa"/>
            <w:vAlign w:val="center"/>
          </w:tcPr>
          <w:p w14:paraId="238FBDF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89.1</w:t>
            </w:r>
          </w:p>
        </w:tc>
        <w:tc>
          <w:tcPr>
            <w:tcW w:w="1096" w:type="dxa"/>
            <w:vAlign w:val="center"/>
          </w:tcPr>
          <w:p w14:paraId="5C78A88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654</w:t>
            </w:r>
          </w:p>
        </w:tc>
      </w:tr>
      <w:tr w:rsidR="00ED2520" w14:paraId="5F0C1551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7B69C45F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239F5D2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33C5B00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41FFF1D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12ED760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</w:t>
            </w:r>
          </w:p>
        </w:tc>
        <w:tc>
          <w:tcPr>
            <w:tcW w:w="1361" w:type="dxa"/>
            <w:vAlign w:val="center"/>
          </w:tcPr>
          <w:p w14:paraId="3AD6023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1363" w:type="dxa"/>
            <w:vAlign w:val="center"/>
          </w:tcPr>
          <w:p w14:paraId="3F1F2A9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7.2</w:t>
            </w:r>
          </w:p>
        </w:tc>
        <w:tc>
          <w:tcPr>
            <w:tcW w:w="1021" w:type="dxa"/>
            <w:vAlign w:val="center"/>
          </w:tcPr>
          <w:p w14:paraId="29B1579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9.6</w:t>
            </w:r>
          </w:p>
        </w:tc>
        <w:tc>
          <w:tcPr>
            <w:tcW w:w="1105" w:type="dxa"/>
            <w:vAlign w:val="center"/>
          </w:tcPr>
          <w:p w14:paraId="137B18C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7473202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89.0</w:t>
            </w:r>
          </w:p>
        </w:tc>
        <w:tc>
          <w:tcPr>
            <w:tcW w:w="1096" w:type="dxa"/>
            <w:vAlign w:val="center"/>
          </w:tcPr>
          <w:p w14:paraId="7FA4598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578</w:t>
            </w:r>
          </w:p>
        </w:tc>
      </w:tr>
      <w:tr w:rsidR="00ED2520" w14:paraId="26661A78" w14:textId="77777777">
        <w:trPr>
          <w:trHeight w:val="458"/>
        </w:trPr>
        <w:tc>
          <w:tcPr>
            <w:tcW w:w="826" w:type="dxa"/>
            <w:vMerge w:val="restart"/>
            <w:vAlign w:val="center"/>
          </w:tcPr>
          <w:p w14:paraId="6D9AACF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653" w:type="dxa"/>
            <w:vAlign w:val="center"/>
          </w:tcPr>
          <w:p w14:paraId="61E9CF0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61B816F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6E569A6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0B6E985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361" w:type="dxa"/>
            <w:vAlign w:val="center"/>
          </w:tcPr>
          <w:p w14:paraId="2CD6441A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375</w:t>
            </w:r>
          </w:p>
        </w:tc>
        <w:tc>
          <w:tcPr>
            <w:tcW w:w="1363" w:type="dxa"/>
            <w:vAlign w:val="center"/>
          </w:tcPr>
          <w:p w14:paraId="32FF69C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0B89799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1105" w:type="dxa"/>
            <w:vAlign w:val="center"/>
          </w:tcPr>
          <w:p w14:paraId="340B6E1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72" w:type="dxa"/>
            <w:vAlign w:val="center"/>
          </w:tcPr>
          <w:p w14:paraId="358ABA4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87.5</w:t>
            </w:r>
          </w:p>
        </w:tc>
        <w:tc>
          <w:tcPr>
            <w:tcW w:w="1096" w:type="dxa"/>
            <w:vAlign w:val="center"/>
          </w:tcPr>
          <w:p w14:paraId="2618F46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1524</w:t>
            </w:r>
          </w:p>
        </w:tc>
      </w:tr>
      <w:tr w:rsidR="00ED2520" w14:paraId="70BF9A71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361246C2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bookmarkStart w:id="100" w:name="OLE_LINK1" w:colFirst="2" w:colLast="9"/>
          </w:p>
        </w:tc>
        <w:tc>
          <w:tcPr>
            <w:tcW w:w="653" w:type="dxa"/>
            <w:vAlign w:val="center"/>
          </w:tcPr>
          <w:p w14:paraId="7631602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5F42DD0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232586F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1B6B6F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61" w:type="dxa"/>
            <w:vAlign w:val="center"/>
          </w:tcPr>
          <w:p w14:paraId="0997409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416</w:t>
            </w:r>
          </w:p>
        </w:tc>
        <w:tc>
          <w:tcPr>
            <w:tcW w:w="1363" w:type="dxa"/>
            <w:vAlign w:val="center"/>
          </w:tcPr>
          <w:p w14:paraId="0A9670C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21" w:type="dxa"/>
            <w:vAlign w:val="center"/>
          </w:tcPr>
          <w:p w14:paraId="4871161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05" w:type="dxa"/>
            <w:vAlign w:val="center"/>
          </w:tcPr>
          <w:p w14:paraId="3568AEF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72" w:type="dxa"/>
            <w:vAlign w:val="center"/>
          </w:tcPr>
          <w:p w14:paraId="0C0C3DC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87.0</w:t>
            </w:r>
          </w:p>
        </w:tc>
        <w:tc>
          <w:tcPr>
            <w:tcW w:w="1096" w:type="dxa"/>
            <w:vAlign w:val="center"/>
          </w:tcPr>
          <w:p w14:paraId="4CABAAA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1146</w:t>
            </w:r>
          </w:p>
        </w:tc>
      </w:tr>
      <w:bookmarkEnd w:id="100"/>
      <w:tr w:rsidR="00ED2520" w14:paraId="45C74DBE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0194DAF7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46A0D73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236D86F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淡</w:t>
            </w:r>
            <w:r>
              <w:rPr>
                <w:sz w:val="18"/>
                <w:szCs w:val="18"/>
              </w:rPr>
              <w:t>黄色液体</w:t>
            </w:r>
          </w:p>
        </w:tc>
        <w:tc>
          <w:tcPr>
            <w:tcW w:w="1511" w:type="dxa"/>
            <w:vAlign w:val="center"/>
          </w:tcPr>
          <w:p w14:paraId="3BDF8E3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0A5ECD3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9.9</w:t>
            </w:r>
          </w:p>
        </w:tc>
        <w:tc>
          <w:tcPr>
            <w:tcW w:w="1361" w:type="dxa"/>
            <w:vAlign w:val="center"/>
          </w:tcPr>
          <w:p w14:paraId="71F266AD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269</w:t>
            </w:r>
          </w:p>
        </w:tc>
        <w:tc>
          <w:tcPr>
            <w:tcW w:w="1363" w:type="dxa"/>
            <w:vAlign w:val="center"/>
          </w:tcPr>
          <w:p w14:paraId="7B59FC8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463A70E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05" w:type="dxa"/>
            <w:vAlign w:val="center"/>
          </w:tcPr>
          <w:p w14:paraId="4B0968D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72" w:type="dxa"/>
            <w:vAlign w:val="center"/>
          </w:tcPr>
          <w:p w14:paraId="4307D8A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87.7</w:t>
            </w:r>
          </w:p>
        </w:tc>
        <w:tc>
          <w:tcPr>
            <w:tcW w:w="1096" w:type="dxa"/>
            <w:vAlign w:val="center"/>
          </w:tcPr>
          <w:p w14:paraId="1F100CC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1347</w:t>
            </w:r>
          </w:p>
        </w:tc>
      </w:tr>
      <w:tr w:rsidR="00ED2520" w14:paraId="08927807" w14:textId="77777777">
        <w:trPr>
          <w:trHeight w:val="468"/>
        </w:trPr>
        <w:tc>
          <w:tcPr>
            <w:tcW w:w="826" w:type="dxa"/>
            <w:vMerge w:val="restart"/>
            <w:vAlign w:val="center"/>
          </w:tcPr>
          <w:p w14:paraId="09FE39E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653" w:type="dxa"/>
            <w:vAlign w:val="center"/>
          </w:tcPr>
          <w:p w14:paraId="78FF4DF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756000A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7F052E5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04CF2084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361" w:type="dxa"/>
            <w:vAlign w:val="center"/>
          </w:tcPr>
          <w:p w14:paraId="191F0CE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177</w:t>
            </w:r>
          </w:p>
        </w:tc>
        <w:tc>
          <w:tcPr>
            <w:tcW w:w="1363" w:type="dxa"/>
            <w:vAlign w:val="center"/>
          </w:tcPr>
          <w:p w14:paraId="573E75B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19.7</w:t>
            </w:r>
          </w:p>
        </w:tc>
        <w:tc>
          <w:tcPr>
            <w:tcW w:w="1021" w:type="dxa"/>
            <w:vAlign w:val="center"/>
          </w:tcPr>
          <w:p w14:paraId="12370D75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10.7</w:t>
            </w:r>
          </w:p>
        </w:tc>
        <w:tc>
          <w:tcPr>
            <w:tcW w:w="1105" w:type="dxa"/>
            <w:vAlign w:val="center"/>
          </w:tcPr>
          <w:p w14:paraId="650BED6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72" w:type="dxa"/>
            <w:vAlign w:val="center"/>
          </w:tcPr>
          <w:p w14:paraId="159FBFE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85.9</w:t>
            </w:r>
          </w:p>
        </w:tc>
        <w:tc>
          <w:tcPr>
            <w:tcW w:w="1096" w:type="dxa"/>
            <w:vAlign w:val="center"/>
          </w:tcPr>
          <w:p w14:paraId="2C926DF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1339</w:t>
            </w:r>
          </w:p>
        </w:tc>
      </w:tr>
      <w:tr w:rsidR="00ED2520" w14:paraId="6A081CD0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76135458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5E97AFD3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7C41153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67D861A1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73265E96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1" w:type="dxa"/>
            <w:vAlign w:val="center"/>
          </w:tcPr>
          <w:p w14:paraId="22079F6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218</w:t>
            </w:r>
          </w:p>
        </w:tc>
        <w:tc>
          <w:tcPr>
            <w:tcW w:w="1363" w:type="dxa"/>
            <w:vAlign w:val="center"/>
          </w:tcPr>
          <w:p w14:paraId="197BC0B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18.5</w:t>
            </w:r>
          </w:p>
        </w:tc>
        <w:tc>
          <w:tcPr>
            <w:tcW w:w="1021" w:type="dxa"/>
            <w:vAlign w:val="center"/>
          </w:tcPr>
          <w:p w14:paraId="3B9BDA3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10.5</w:t>
            </w:r>
          </w:p>
        </w:tc>
        <w:tc>
          <w:tcPr>
            <w:tcW w:w="1105" w:type="dxa"/>
            <w:vAlign w:val="center"/>
          </w:tcPr>
          <w:p w14:paraId="650FEF6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72" w:type="dxa"/>
            <w:vAlign w:val="center"/>
          </w:tcPr>
          <w:p w14:paraId="2F607127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86.4</w:t>
            </w:r>
          </w:p>
        </w:tc>
        <w:tc>
          <w:tcPr>
            <w:tcW w:w="1096" w:type="dxa"/>
            <w:vAlign w:val="center"/>
          </w:tcPr>
          <w:p w14:paraId="21E1AF2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1851</w:t>
            </w:r>
          </w:p>
        </w:tc>
      </w:tr>
      <w:tr w:rsidR="00ED2520" w14:paraId="408E18FE" w14:textId="77777777">
        <w:trPr>
          <w:trHeight w:val="468"/>
        </w:trPr>
        <w:tc>
          <w:tcPr>
            <w:tcW w:w="826" w:type="dxa"/>
            <w:vMerge/>
            <w:vAlign w:val="center"/>
          </w:tcPr>
          <w:p w14:paraId="54464E9F" w14:textId="77777777" w:rsidR="00ED2520" w:rsidRDefault="00ED25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14:paraId="28431BA8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3188B31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淡黄色液体</w:t>
            </w:r>
          </w:p>
        </w:tc>
        <w:tc>
          <w:tcPr>
            <w:tcW w:w="1511" w:type="dxa"/>
            <w:vAlign w:val="center"/>
          </w:tcPr>
          <w:p w14:paraId="644BD9B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-22" w:left="-46" w:firstLineChars="37" w:firstLine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轻微特征气味</w:t>
            </w:r>
          </w:p>
        </w:tc>
        <w:tc>
          <w:tcPr>
            <w:tcW w:w="1655" w:type="dxa"/>
            <w:vAlign w:val="center"/>
          </w:tcPr>
          <w:p w14:paraId="4CEB2EB2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61" w:type="dxa"/>
            <w:vAlign w:val="center"/>
          </w:tcPr>
          <w:p w14:paraId="756B42DE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251</w:t>
            </w:r>
          </w:p>
        </w:tc>
        <w:tc>
          <w:tcPr>
            <w:tcW w:w="1363" w:type="dxa"/>
            <w:vAlign w:val="center"/>
          </w:tcPr>
          <w:p w14:paraId="2EF1478B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21.8</w:t>
            </w:r>
          </w:p>
        </w:tc>
        <w:tc>
          <w:tcPr>
            <w:tcW w:w="1021" w:type="dxa"/>
            <w:vAlign w:val="center"/>
          </w:tcPr>
          <w:p w14:paraId="795273F0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10.4</w:t>
            </w:r>
          </w:p>
        </w:tc>
        <w:tc>
          <w:tcPr>
            <w:tcW w:w="1105" w:type="dxa"/>
            <w:vAlign w:val="center"/>
          </w:tcPr>
          <w:p w14:paraId="6B36B339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72" w:type="dxa"/>
            <w:vAlign w:val="center"/>
          </w:tcPr>
          <w:p w14:paraId="2C86876C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86.2</w:t>
            </w:r>
          </w:p>
        </w:tc>
        <w:tc>
          <w:tcPr>
            <w:tcW w:w="1096" w:type="dxa"/>
            <w:vAlign w:val="center"/>
          </w:tcPr>
          <w:p w14:paraId="4005FB7F" w14:textId="77777777" w:rsidR="00ED2520" w:rsidRDefault="00000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2422</w:t>
            </w:r>
          </w:p>
        </w:tc>
      </w:tr>
    </w:tbl>
    <w:p w14:paraId="2661AAA8" w14:textId="77777777" w:rsidR="00ED2520" w:rsidRDefault="00ED2520">
      <w:pPr>
        <w:adjustRightInd w:val="0"/>
        <w:snapToGrid w:val="0"/>
        <w:spacing w:line="360" w:lineRule="auto"/>
        <w:ind w:firstLineChars="200" w:firstLine="360"/>
        <w:rPr>
          <w:sz w:val="18"/>
          <w:szCs w:val="18"/>
        </w:rPr>
      </w:pPr>
    </w:p>
    <w:p w14:paraId="0BDCB578" w14:textId="77777777" w:rsidR="00ED2520" w:rsidRDefault="00ED2520">
      <w:pPr>
        <w:pStyle w:val="a0"/>
      </w:pPr>
    </w:p>
    <w:sectPr w:rsidR="00ED252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6B466" w14:textId="77777777" w:rsidR="003C74C4" w:rsidRDefault="003C74C4">
      <w:r>
        <w:separator/>
      </w:r>
    </w:p>
  </w:endnote>
  <w:endnote w:type="continuationSeparator" w:id="0">
    <w:p w14:paraId="6418DB18" w14:textId="77777777" w:rsidR="003C74C4" w:rsidRDefault="003C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FAF4" w14:textId="77777777" w:rsidR="00ED2520" w:rsidRDefault="00000000">
    <w:pPr>
      <w:pStyle w:val="a8"/>
      <w:jc w:val="center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9BEBB3" wp14:editId="70AE1E8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56890939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0FC94B" w14:textId="77777777" w:rsidR="00ED2520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9BEBB3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left:0;text-align:left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    <v:textbox style="mso-fit-shape-to-text:t" inset="0,0,0,0">
                <w:txbxContent>
                  <w:p w14:paraId="680FC94B" w14:textId="77777777" w:rsidR="00ED2520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4D4A7D" w14:textId="77777777" w:rsidR="00ED2520" w:rsidRDefault="00ED2520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71513" w14:textId="77777777" w:rsidR="003C74C4" w:rsidRDefault="003C74C4">
      <w:r>
        <w:separator/>
      </w:r>
    </w:p>
  </w:footnote>
  <w:footnote w:type="continuationSeparator" w:id="0">
    <w:p w14:paraId="52BFADD1" w14:textId="77777777" w:rsidR="003C74C4" w:rsidRDefault="003C7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yNjgwYzE4MGM1MjJhMzZjMThmZTkwMzY3N2I2OTMifQ=="/>
  </w:docVars>
  <w:rsids>
    <w:rsidRoot w:val="001F3468"/>
    <w:rsid w:val="00003C97"/>
    <w:rsid w:val="000071DA"/>
    <w:rsid w:val="00011987"/>
    <w:rsid w:val="00013036"/>
    <w:rsid w:val="00016735"/>
    <w:rsid w:val="000167B4"/>
    <w:rsid w:val="000168C5"/>
    <w:rsid w:val="0003036D"/>
    <w:rsid w:val="00036B47"/>
    <w:rsid w:val="00040B31"/>
    <w:rsid w:val="00044CDF"/>
    <w:rsid w:val="00044EC6"/>
    <w:rsid w:val="00045734"/>
    <w:rsid w:val="00050412"/>
    <w:rsid w:val="0005145E"/>
    <w:rsid w:val="00063522"/>
    <w:rsid w:val="00065761"/>
    <w:rsid w:val="00065775"/>
    <w:rsid w:val="00067C0D"/>
    <w:rsid w:val="000717F5"/>
    <w:rsid w:val="00073092"/>
    <w:rsid w:val="000743A0"/>
    <w:rsid w:val="00075F51"/>
    <w:rsid w:val="00076793"/>
    <w:rsid w:val="0008182B"/>
    <w:rsid w:val="00087AF6"/>
    <w:rsid w:val="000917A3"/>
    <w:rsid w:val="000A20A7"/>
    <w:rsid w:val="000A415E"/>
    <w:rsid w:val="000A6740"/>
    <w:rsid w:val="000A79CB"/>
    <w:rsid w:val="000B02A8"/>
    <w:rsid w:val="000B3395"/>
    <w:rsid w:val="000B6BCA"/>
    <w:rsid w:val="000C0086"/>
    <w:rsid w:val="000C1680"/>
    <w:rsid w:val="000C1778"/>
    <w:rsid w:val="000C41DF"/>
    <w:rsid w:val="000C4495"/>
    <w:rsid w:val="000C71ED"/>
    <w:rsid w:val="000D1DA9"/>
    <w:rsid w:val="000D6940"/>
    <w:rsid w:val="000E0B91"/>
    <w:rsid w:val="000E4D18"/>
    <w:rsid w:val="000E600A"/>
    <w:rsid w:val="000F369D"/>
    <w:rsid w:val="00105730"/>
    <w:rsid w:val="00110003"/>
    <w:rsid w:val="00111888"/>
    <w:rsid w:val="00114380"/>
    <w:rsid w:val="00115A2B"/>
    <w:rsid w:val="00115C16"/>
    <w:rsid w:val="00115C2D"/>
    <w:rsid w:val="001210AD"/>
    <w:rsid w:val="00123D8F"/>
    <w:rsid w:val="00127524"/>
    <w:rsid w:val="00130425"/>
    <w:rsid w:val="001326F3"/>
    <w:rsid w:val="001328B9"/>
    <w:rsid w:val="00133471"/>
    <w:rsid w:val="001334E0"/>
    <w:rsid w:val="0013661E"/>
    <w:rsid w:val="00137077"/>
    <w:rsid w:val="00143E31"/>
    <w:rsid w:val="001443F0"/>
    <w:rsid w:val="00144EE9"/>
    <w:rsid w:val="001526CA"/>
    <w:rsid w:val="0015446C"/>
    <w:rsid w:val="00161F81"/>
    <w:rsid w:val="00170DEB"/>
    <w:rsid w:val="001741D1"/>
    <w:rsid w:val="001777D2"/>
    <w:rsid w:val="00181B27"/>
    <w:rsid w:val="00183EA3"/>
    <w:rsid w:val="001865BE"/>
    <w:rsid w:val="001944B4"/>
    <w:rsid w:val="00195C6F"/>
    <w:rsid w:val="00196F95"/>
    <w:rsid w:val="001A10E6"/>
    <w:rsid w:val="001A2298"/>
    <w:rsid w:val="001A3718"/>
    <w:rsid w:val="001B2748"/>
    <w:rsid w:val="001B2B54"/>
    <w:rsid w:val="001B56C9"/>
    <w:rsid w:val="001B7075"/>
    <w:rsid w:val="001B73A2"/>
    <w:rsid w:val="001C2622"/>
    <w:rsid w:val="001D39D5"/>
    <w:rsid w:val="001D4470"/>
    <w:rsid w:val="001E0C8D"/>
    <w:rsid w:val="001E11F3"/>
    <w:rsid w:val="001E5835"/>
    <w:rsid w:val="001E6F08"/>
    <w:rsid w:val="001F3468"/>
    <w:rsid w:val="001F47C7"/>
    <w:rsid w:val="001F7D06"/>
    <w:rsid w:val="002012D0"/>
    <w:rsid w:val="00202264"/>
    <w:rsid w:val="0020309B"/>
    <w:rsid w:val="002156C9"/>
    <w:rsid w:val="002213E2"/>
    <w:rsid w:val="002225BA"/>
    <w:rsid w:val="00222756"/>
    <w:rsid w:val="00242CA2"/>
    <w:rsid w:val="0024453A"/>
    <w:rsid w:val="00254E88"/>
    <w:rsid w:val="00262DAA"/>
    <w:rsid w:val="00265BCF"/>
    <w:rsid w:val="002666D0"/>
    <w:rsid w:val="002710BA"/>
    <w:rsid w:val="00274EAC"/>
    <w:rsid w:val="00275E48"/>
    <w:rsid w:val="00276624"/>
    <w:rsid w:val="002776FC"/>
    <w:rsid w:val="0028645E"/>
    <w:rsid w:val="00287861"/>
    <w:rsid w:val="00287C50"/>
    <w:rsid w:val="002A2380"/>
    <w:rsid w:val="002B26B6"/>
    <w:rsid w:val="002B27CB"/>
    <w:rsid w:val="002B2993"/>
    <w:rsid w:val="002D6460"/>
    <w:rsid w:val="002D7023"/>
    <w:rsid w:val="002E3103"/>
    <w:rsid w:val="002F18C2"/>
    <w:rsid w:val="002F1CB3"/>
    <w:rsid w:val="002F2D19"/>
    <w:rsid w:val="003002D4"/>
    <w:rsid w:val="003016D5"/>
    <w:rsid w:val="003025EA"/>
    <w:rsid w:val="00313E05"/>
    <w:rsid w:val="0031580D"/>
    <w:rsid w:val="00320EE7"/>
    <w:rsid w:val="00324851"/>
    <w:rsid w:val="00325032"/>
    <w:rsid w:val="0032607B"/>
    <w:rsid w:val="00326221"/>
    <w:rsid w:val="00326FD1"/>
    <w:rsid w:val="003338F1"/>
    <w:rsid w:val="003339F0"/>
    <w:rsid w:val="00343FCA"/>
    <w:rsid w:val="00344C97"/>
    <w:rsid w:val="003477D8"/>
    <w:rsid w:val="00351937"/>
    <w:rsid w:val="0035457D"/>
    <w:rsid w:val="00354868"/>
    <w:rsid w:val="00356EF0"/>
    <w:rsid w:val="00361925"/>
    <w:rsid w:val="00361F38"/>
    <w:rsid w:val="00374425"/>
    <w:rsid w:val="00374727"/>
    <w:rsid w:val="00375379"/>
    <w:rsid w:val="003753DD"/>
    <w:rsid w:val="00383A92"/>
    <w:rsid w:val="00384D4E"/>
    <w:rsid w:val="0039464D"/>
    <w:rsid w:val="00397EC2"/>
    <w:rsid w:val="003A319F"/>
    <w:rsid w:val="003A42A4"/>
    <w:rsid w:val="003A7ADA"/>
    <w:rsid w:val="003C0898"/>
    <w:rsid w:val="003C1A41"/>
    <w:rsid w:val="003C3B69"/>
    <w:rsid w:val="003C74C4"/>
    <w:rsid w:val="003E2341"/>
    <w:rsid w:val="003E489B"/>
    <w:rsid w:val="003F0726"/>
    <w:rsid w:val="003F0C89"/>
    <w:rsid w:val="003F2FFD"/>
    <w:rsid w:val="003F524C"/>
    <w:rsid w:val="004035CB"/>
    <w:rsid w:val="00404033"/>
    <w:rsid w:val="004040EF"/>
    <w:rsid w:val="004047DD"/>
    <w:rsid w:val="00405329"/>
    <w:rsid w:val="00406D40"/>
    <w:rsid w:val="0040718B"/>
    <w:rsid w:val="00411EE5"/>
    <w:rsid w:val="00413F10"/>
    <w:rsid w:val="0042095F"/>
    <w:rsid w:val="00424474"/>
    <w:rsid w:val="00424588"/>
    <w:rsid w:val="00432FA3"/>
    <w:rsid w:val="0043793C"/>
    <w:rsid w:val="004410BC"/>
    <w:rsid w:val="004506E2"/>
    <w:rsid w:val="0045674E"/>
    <w:rsid w:val="004575C1"/>
    <w:rsid w:val="00462711"/>
    <w:rsid w:val="00464D2D"/>
    <w:rsid w:val="004661AF"/>
    <w:rsid w:val="00471191"/>
    <w:rsid w:val="004740A9"/>
    <w:rsid w:val="00475A41"/>
    <w:rsid w:val="00475CC2"/>
    <w:rsid w:val="0047700E"/>
    <w:rsid w:val="00485868"/>
    <w:rsid w:val="00487DC1"/>
    <w:rsid w:val="00490EDA"/>
    <w:rsid w:val="00491194"/>
    <w:rsid w:val="00491F3F"/>
    <w:rsid w:val="0049265C"/>
    <w:rsid w:val="004975AD"/>
    <w:rsid w:val="004A22C9"/>
    <w:rsid w:val="004A2B7A"/>
    <w:rsid w:val="004A3A11"/>
    <w:rsid w:val="004A511B"/>
    <w:rsid w:val="004A7287"/>
    <w:rsid w:val="004B2B12"/>
    <w:rsid w:val="004B5829"/>
    <w:rsid w:val="004B6E5F"/>
    <w:rsid w:val="004C078A"/>
    <w:rsid w:val="004C2892"/>
    <w:rsid w:val="004D2449"/>
    <w:rsid w:val="004E048D"/>
    <w:rsid w:val="004E1F35"/>
    <w:rsid w:val="004E5856"/>
    <w:rsid w:val="004E7DD2"/>
    <w:rsid w:val="00500637"/>
    <w:rsid w:val="00501146"/>
    <w:rsid w:val="00501F65"/>
    <w:rsid w:val="0050229A"/>
    <w:rsid w:val="00504C76"/>
    <w:rsid w:val="00505BF9"/>
    <w:rsid w:val="00511D7E"/>
    <w:rsid w:val="00514A2E"/>
    <w:rsid w:val="00520211"/>
    <w:rsid w:val="00523723"/>
    <w:rsid w:val="00523BA1"/>
    <w:rsid w:val="005260CF"/>
    <w:rsid w:val="00530B2F"/>
    <w:rsid w:val="005312B5"/>
    <w:rsid w:val="00534F45"/>
    <w:rsid w:val="005449A8"/>
    <w:rsid w:val="005525B1"/>
    <w:rsid w:val="00556A68"/>
    <w:rsid w:val="005606C2"/>
    <w:rsid w:val="005648A1"/>
    <w:rsid w:val="00566CD3"/>
    <w:rsid w:val="00567E8D"/>
    <w:rsid w:val="00575AA5"/>
    <w:rsid w:val="005835C2"/>
    <w:rsid w:val="00584A98"/>
    <w:rsid w:val="00585903"/>
    <w:rsid w:val="005909EF"/>
    <w:rsid w:val="00592715"/>
    <w:rsid w:val="005A23B5"/>
    <w:rsid w:val="005A76BB"/>
    <w:rsid w:val="005A77D6"/>
    <w:rsid w:val="005B2AFA"/>
    <w:rsid w:val="005B4E42"/>
    <w:rsid w:val="005C43F2"/>
    <w:rsid w:val="005C541D"/>
    <w:rsid w:val="005C623D"/>
    <w:rsid w:val="005C727C"/>
    <w:rsid w:val="005D14D9"/>
    <w:rsid w:val="005D4AD8"/>
    <w:rsid w:val="005D5088"/>
    <w:rsid w:val="005E10F8"/>
    <w:rsid w:val="005E12B3"/>
    <w:rsid w:val="005E5E1F"/>
    <w:rsid w:val="005F238A"/>
    <w:rsid w:val="005F5960"/>
    <w:rsid w:val="005F7CE8"/>
    <w:rsid w:val="00601522"/>
    <w:rsid w:val="0060604B"/>
    <w:rsid w:val="006076EB"/>
    <w:rsid w:val="0061000A"/>
    <w:rsid w:val="0061021F"/>
    <w:rsid w:val="0061043C"/>
    <w:rsid w:val="006132BE"/>
    <w:rsid w:val="00615C5A"/>
    <w:rsid w:val="00615D3C"/>
    <w:rsid w:val="006173AA"/>
    <w:rsid w:val="00620E2A"/>
    <w:rsid w:val="00621671"/>
    <w:rsid w:val="00623CAC"/>
    <w:rsid w:val="006262B8"/>
    <w:rsid w:val="00633304"/>
    <w:rsid w:val="006334FA"/>
    <w:rsid w:val="00633A22"/>
    <w:rsid w:val="00633C67"/>
    <w:rsid w:val="0063443E"/>
    <w:rsid w:val="00643C6E"/>
    <w:rsid w:val="00643F7D"/>
    <w:rsid w:val="00645E4B"/>
    <w:rsid w:val="0064683D"/>
    <w:rsid w:val="00647B70"/>
    <w:rsid w:val="006501D4"/>
    <w:rsid w:val="00652B63"/>
    <w:rsid w:val="00653DFC"/>
    <w:rsid w:val="00657DA7"/>
    <w:rsid w:val="00666746"/>
    <w:rsid w:val="006702D2"/>
    <w:rsid w:val="00674879"/>
    <w:rsid w:val="00676F11"/>
    <w:rsid w:val="00685FEA"/>
    <w:rsid w:val="006865A2"/>
    <w:rsid w:val="0069018F"/>
    <w:rsid w:val="006927CE"/>
    <w:rsid w:val="00694FA9"/>
    <w:rsid w:val="006955A1"/>
    <w:rsid w:val="00697DEE"/>
    <w:rsid w:val="006A292B"/>
    <w:rsid w:val="006A37CA"/>
    <w:rsid w:val="006A4B93"/>
    <w:rsid w:val="006A53B1"/>
    <w:rsid w:val="006B0069"/>
    <w:rsid w:val="006B0748"/>
    <w:rsid w:val="006B4E81"/>
    <w:rsid w:val="006B649D"/>
    <w:rsid w:val="006B78C0"/>
    <w:rsid w:val="006C3F7C"/>
    <w:rsid w:val="006C5E56"/>
    <w:rsid w:val="006C5F40"/>
    <w:rsid w:val="006C7121"/>
    <w:rsid w:val="006C78B8"/>
    <w:rsid w:val="006C7FFD"/>
    <w:rsid w:val="006D7EA8"/>
    <w:rsid w:val="006E1E2D"/>
    <w:rsid w:val="006E24E5"/>
    <w:rsid w:val="006E4B78"/>
    <w:rsid w:val="006E5F93"/>
    <w:rsid w:val="006F76A4"/>
    <w:rsid w:val="00703CFD"/>
    <w:rsid w:val="0070403C"/>
    <w:rsid w:val="007066DA"/>
    <w:rsid w:val="00710926"/>
    <w:rsid w:val="007125B6"/>
    <w:rsid w:val="00714677"/>
    <w:rsid w:val="0072050D"/>
    <w:rsid w:val="00733795"/>
    <w:rsid w:val="0073595D"/>
    <w:rsid w:val="00736A8A"/>
    <w:rsid w:val="0074329A"/>
    <w:rsid w:val="007475E9"/>
    <w:rsid w:val="007570CF"/>
    <w:rsid w:val="007572FC"/>
    <w:rsid w:val="007578B8"/>
    <w:rsid w:val="007606D7"/>
    <w:rsid w:val="00763D0E"/>
    <w:rsid w:val="00765A5D"/>
    <w:rsid w:val="00766D6A"/>
    <w:rsid w:val="00767FD6"/>
    <w:rsid w:val="007800CA"/>
    <w:rsid w:val="00786AD4"/>
    <w:rsid w:val="00787642"/>
    <w:rsid w:val="007965D5"/>
    <w:rsid w:val="00797974"/>
    <w:rsid w:val="007A16E3"/>
    <w:rsid w:val="007A1725"/>
    <w:rsid w:val="007A173E"/>
    <w:rsid w:val="007A1C4A"/>
    <w:rsid w:val="007A61FB"/>
    <w:rsid w:val="007A7F1A"/>
    <w:rsid w:val="007B0D3B"/>
    <w:rsid w:val="007B1E4C"/>
    <w:rsid w:val="007C0CBB"/>
    <w:rsid w:val="007C1895"/>
    <w:rsid w:val="007C281E"/>
    <w:rsid w:val="007C55E3"/>
    <w:rsid w:val="007D4CEC"/>
    <w:rsid w:val="007D5404"/>
    <w:rsid w:val="007D69B5"/>
    <w:rsid w:val="007E1166"/>
    <w:rsid w:val="007E2EB8"/>
    <w:rsid w:val="007E5E5D"/>
    <w:rsid w:val="007E6E86"/>
    <w:rsid w:val="007E7AB8"/>
    <w:rsid w:val="007F31E3"/>
    <w:rsid w:val="007F43B4"/>
    <w:rsid w:val="007F6C7A"/>
    <w:rsid w:val="008053B0"/>
    <w:rsid w:val="008158D6"/>
    <w:rsid w:val="00815D76"/>
    <w:rsid w:val="00817952"/>
    <w:rsid w:val="00820902"/>
    <w:rsid w:val="00822B07"/>
    <w:rsid w:val="0082727A"/>
    <w:rsid w:val="00832A22"/>
    <w:rsid w:val="00833723"/>
    <w:rsid w:val="00837149"/>
    <w:rsid w:val="00840917"/>
    <w:rsid w:val="0084390A"/>
    <w:rsid w:val="0084730D"/>
    <w:rsid w:val="00853331"/>
    <w:rsid w:val="00861599"/>
    <w:rsid w:val="00862879"/>
    <w:rsid w:val="008646EF"/>
    <w:rsid w:val="008656A5"/>
    <w:rsid w:val="00865761"/>
    <w:rsid w:val="00870839"/>
    <w:rsid w:val="00872A41"/>
    <w:rsid w:val="00883769"/>
    <w:rsid w:val="00883EAC"/>
    <w:rsid w:val="00884642"/>
    <w:rsid w:val="00884C2C"/>
    <w:rsid w:val="0088546A"/>
    <w:rsid w:val="00886482"/>
    <w:rsid w:val="008866C4"/>
    <w:rsid w:val="00890B91"/>
    <w:rsid w:val="00890C93"/>
    <w:rsid w:val="00891476"/>
    <w:rsid w:val="008A0AF0"/>
    <w:rsid w:val="008A35D3"/>
    <w:rsid w:val="008A4291"/>
    <w:rsid w:val="008B3C41"/>
    <w:rsid w:val="008C11B7"/>
    <w:rsid w:val="008D0A7F"/>
    <w:rsid w:val="008D49F5"/>
    <w:rsid w:val="008D5293"/>
    <w:rsid w:val="008D5322"/>
    <w:rsid w:val="008D763F"/>
    <w:rsid w:val="008D77EC"/>
    <w:rsid w:val="008E3A6E"/>
    <w:rsid w:val="008E620E"/>
    <w:rsid w:val="008E70D3"/>
    <w:rsid w:val="008E7A71"/>
    <w:rsid w:val="008F4675"/>
    <w:rsid w:val="008F7450"/>
    <w:rsid w:val="00900116"/>
    <w:rsid w:val="00904515"/>
    <w:rsid w:val="00913DFE"/>
    <w:rsid w:val="009144D5"/>
    <w:rsid w:val="009160CD"/>
    <w:rsid w:val="009176D7"/>
    <w:rsid w:val="00921A15"/>
    <w:rsid w:val="00931503"/>
    <w:rsid w:val="00931D79"/>
    <w:rsid w:val="00946708"/>
    <w:rsid w:val="009510D8"/>
    <w:rsid w:val="00952A0D"/>
    <w:rsid w:val="009534D0"/>
    <w:rsid w:val="00956743"/>
    <w:rsid w:val="0096242E"/>
    <w:rsid w:val="00970B3E"/>
    <w:rsid w:val="00971740"/>
    <w:rsid w:val="00971819"/>
    <w:rsid w:val="009734A4"/>
    <w:rsid w:val="00980E91"/>
    <w:rsid w:val="009820FF"/>
    <w:rsid w:val="00983A8A"/>
    <w:rsid w:val="0099111E"/>
    <w:rsid w:val="00992C8F"/>
    <w:rsid w:val="00993A95"/>
    <w:rsid w:val="009979EB"/>
    <w:rsid w:val="00997E0D"/>
    <w:rsid w:val="009A6C87"/>
    <w:rsid w:val="009B0AB8"/>
    <w:rsid w:val="009B177F"/>
    <w:rsid w:val="009B2987"/>
    <w:rsid w:val="009B5A96"/>
    <w:rsid w:val="009C1150"/>
    <w:rsid w:val="009C762C"/>
    <w:rsid w:val="009D042F"/>
    <w:rsid w:val="009D181F"/>
    <w:rsid w:val="009D3538"/>
    <w:rsid w:val="009D465F"/>
    <w:rsid w:val="009D4CAF"/>
    <w:rsid w:val="009D5491"/>
    <w:rsid w:val="009D7AA2"/>
    <w:rsid w:val="009E62DA"/>
    <w:rsid w:val="009E7FF5"/>
    <w:rsid w:val="009F475B"/>
    <w:rsid w:val="00A018D5"/>
    <w:rsid w:val="00A04760"/>
    <w:rsid w:val="00A10299"/>
    <w:rsid w:val="00A126AA"/>
    <w:rsid w:val="00A167B0"/>
    <w:rsid w:val="00A169B2"/>
    <w:rsid w:val="00A16B61"/>
    <w:rsid w:val="00A218BF"/>
    <w:rsid w:val="00A21DA5"/>
    <w:rsid w:val="00A23E52"/>
    <w:rsid w:val="00A255EF"/>
    <w:rsid w:val="00A30A08"/>
    <w:rsid w:val="00A330EA"/>
    <w:rsid w:val="00A340F2"/>
    <w:rsid w:val="00A34F75"/>
    <w:rsid w:val="00A409EF"/>
    <w:rsid w:val="00A40F58"/>
    <w:rsid w:val="00A4180A"/>
    <w:rsid w:val="00A4296B"/>
    <w:rsid w:val="00A4458D"/>
    <w:rsid w:val="00A45609"/>
    <w:rsid w:val="00A45E0F"/>
    <w:rsid w:val="00A51DEA"/>
    <w:rsid w:val="00A52860"/>
    <w:rsid w:val="00A6047F"/>
    <w:rsid w:val="00A61571"/>
    <w:rsid w:val="00A61C20"/>
    <w:rsid w:val="00A61DA0"/>
    <w:rsid w:val="00A63C69"/>
    <w:rsid w:val="00A67403"/>
    <w:rsid w:val="00A728FA"/>
    <w:rsid w:val="00A80EC8"/>
    <w:rsid w:val="00A91330"/>
    <w:rsid w:val="00A92E18"/>
    <w:rsid w:val="00A92EA4"/>
    <w:rsid w:val="00A9658F"/>
    <w:rsid w:val="00AA1F32"/>
    <w:rsid w:val="00AA3D3B"/>
    <w:rsid w:val="00AA5787"/>
    <w:rsid w:val="00AB5779"/>
    <w:rsid w:val="00AB7E58"/>
    <w:rsid w:val="00AC0C05"/>
    <w:rsid w:val="00AC1640"/>
    <w:rsid w:val="00AC5427"/>
    <w:rsid w:val="00AD41DD"/>
    <w:rsid w:val="00AE0B26"/>
    <w:rsid w:val="00AE19FD"/>
    <w:rsid w:val="00AE3988"/>
    <w:rsid w:val="00AE5C35"/>
    <w:rsid w:val="00AF3845"/>
    <w:rsid w:val="00AF401B"/>
    <w:rsid w:val="00AF5A5A"/>
    <w:rsid w:val="00AF733C"/>
    <w:rsid w:val="00B02C5D"/>
    <w:rsid w:val="00B0462D"/>
    <w:rsid w:val="00B0648C"/>
    <w:rsid w:val="00B1671C"/>
    <w:rsid w:val="00B17335"/>
    <w:rsid w:val="00B20B30"/>
    <w:rsid w:val="00B21501"/>
    <w:rsid w:val="00B21681"/>
    <w:rsid w:val="00B21B91"/>
    <w:rsid w:val="00B234FC"/>
    <w:rsid w:val="00B23AD3"/>
    <w:rsid w:val="00B2525F"/>
    <w:rsid w:val="00B30DB9"/>
    <w:rsid w:val="00B32625"/>
    <w:rsid w:val="00B328E7"/>
    <w:rsid w:val="00B32EDE"/>
    <w:rsid w:val="00B361EC"/>
    <w:rsid w:val="00B37409"/>
    <w:rsid w:val="00B40231"/>
    <w:rsid w:val="00B50B5E"/>
    <w:rsid w:val="00B54B76"/>
    <w:rsid w:val="00B569AF"/>
    <w:rsid w:val="00B57DD9"/>
    <w:rsid w:val="00B60892"/>
    <w:rsid w:val="00B62835"/>
    <w:rsid w:val="00B67207"/>
    <w:rsid w:val="00B767A6"/>
    <w:rsid w:val="00B76AED"/>
    <w:rsid w:val="00B77AB6"/>
    <w:rsid w:val="00B875CB"/>
    <w:rsid w:val="00B908BC"/>
    <w:rsid w:val="00B93E4F"/>
    <w:rsid w:val="00BA701E"/>
    <w:rsid w:val="00BA7213"/>
    <w:rsid w:val="00BB0B9B"/>
    <w:rsid w:val="00BC1A25"/>
    <w:rsid w:val="00BC26BA"/>
    <w:rsid w:val="00BC3406"/>
    <w:rsid w:val="00BC54AE"/>
    <w:rsid w:val="00BC582A"/>
    <w:rsid w:val="00BC5AEB"/>
    <w:rsid w:val="00BD0323"/>
    <w:rsid w:val="00BD2D75"/>
    <w:rsid w:val="00BD3E86"/>
    <w:rsid w:val="00BE259C"/>
    <w:rsid w:val="00BE5295"/>
    <w:rsid w:val="00BF16DA"/>
    <w:rsid w:val="00BF4A6F"/>
    <w:rsid w:val="00BF54A9"/>
    <w:rsid w:val="00C00398"/>
    <w:rsid w:val="00C03984"/>
    <w:rsid w:val="00C11253"/>
    <w:rsid w:val="00C13AF2"/>
    <w:rsid w:val="00C21B18"/>
    <w:rsid w:val="00C23A9D"/>
    <w:rsid w:val="00C26534"/>
    <w:rsid w:val="00C30A93"/>
    <w:rsid w:val="00C3126E"/>
    <w:rsid w:val="00C3717A"/>
    <w:rsid w:val="00C41236"/>
    <w:rsid w:val="00C42016"/>
    <w:rsid w:val="00C42A76"/>
    <w:rsid w:val="00C6571D"/>
    <w:rsid w:val="00C76B39"/>
    <w:rsid w:val="00C80D37"/>
    <w:rsid w:val="00C80DF3"/>
    <w:rsid w:val="00C907C5"/>
    <w:rsid w:val="00C93639"/>
    <w:rsid w:val="00C96283"/>
    <w:rsid w:val="00C97129"/>
    <w:rsid w:val="00C97CDA"/>
    <w:rsid w:val="00C97D89"/>
    <w:rsid w:val="00CA0F37"/>
    <w:rsid w:val="00CA18DB"/>
    <w:rsid w:val="00CA3B5E"/>
    <w:rsid w:val="00CA5204"/>
    <w:rsid w:val="00CA6086"/>
    <w:rsid w:val="00CA6146"/>
    <w:rsid w:val="00CB04F6"/>
    <w:rsid w:val="00CB2DBE"/>
    <w:rsid w:val="00CB3A03"/>
    <w:rsid w:val="00CB4B13"/>
    <w:rsid w:val="00CB74AC"/>
    <w:rsid w:val="00CC07FD"/>
    <w:rsid w:val="00CC0EB1"/>
    <w:rsid w:val="00CC1C59"/>
    <w:rsid w:val="00CC6B4D"/>
    <w:rsid w:val="00CD070D"/>
    <w:rsid w:val="00CD4C5B"/>
    <w:rsid w:val="00CD7E1F"/>
    <w:rsid w:val="00CE616D"/>
    <w:rsid w:val="00CF1693"/>
    <w:rsid w:val="00CF7C12"/>
    <w:rsid w:val="00D02494"/>
    <w:rsid w:val="00D06993"/>
    <w:rsid w:val="00D101DA"/>
    <w:rsid w:val="00D10F01"/>
    <w:rsid w:val="00D1372C"/>
    <w:rsid w:val="00D17ACC"/>
    <w:rsid w:val="00D34BBF"/>
    <w:rsid w:val="00D3542B"/>
    <w:rsid w:val="00D35C0A"/>
    <w:rsid w:val="00D42FBA"/>
    <w:rsid w:val="00D45178"/>
    <w:rsid w:val="00D52777"/>
    <w:rsid w:val="00D53240"/>
    <w:rsid w:val="00D603E0"/>
    <w:rsid w:val="00D6248B"/>
    <w:rsid w:val="00D664EB"/>
    <w:rsid w:val="00D6786F"/>
    <w:rsid w:val="00D72492"/>
    <w:rsid w:val="00D734EC"/>
    <w:rsid w:val="00D76E4B"/>
    <w:rsid w:val="00D7765A"/>
    <w:rsid w:val="00D77E19"/>
    <w:rsid w:val="00D800C0"/>
    <w:rsid w:val="00D8086F"/>
    <w:rsid w:val="00D80CD6"/>
    <w:rsid w:val="00D813B3"/>
    <w:rsid w:val="00D82395"/>
    <w:rsid w:val="00D848A1"/>
    <w:rsid w:val="00D92431"/>
    <w:rsid w:val="00D94A3B"/>
    <w:rsid w:val="00D95F6D"/>
    <w:rsid w:val="00DA2009"/>
    <w:rsid w:val="00DA2C8A"/>
    <w:rsid w:val="00DA674D"/>
    <w:rsid w:val="00DA6E3D"/>
    <w:rsid w:val="00DA6F95"/>
    <w:rsid w:val="00DC3922"/>
    <w:rsid w:val="00DC5F68"/>
    <w:rsid w:val="00DD52FA"/>
    <w:rsid w:val="00DD630C"/>
    <w:rsid w:val="00DE0CFC"/>
    <w:rsid w:val="00DE5CB5"/>
    <w:rsid w:val="00DE6865"/>
    <w:rsid w:val="00DF1656"/>
    <w:rsid w:val="00DF7A36"/>
    <w:rsid w:val="00E01A52"/>
    <w:rsid w:val="00E048E0"/>
    <w:rsid w:val="00E12108"/>
    <w:rsid w:val="00E13B7A"/>
    <w:rsid w:val="00E14738"/>
    <w:rsid w:val="00E170A8"/>
    <w:rsid w:val="00E20ADF"/>
    <w:rsid w:val="00E2333C"/>
    <w:rsid w:val="00E2358E"/>
    <w:rsid w:val="00E2366B"/>
    <w:rsid w:val="00E32AC2"/>
    <w:rsid w:val="00E3346C"/>
    <w:rsid w:val="00E37122"/>
    <w:rsid w:val="00E377AD"/>
    <w:rsid w:val="00E425E8"/>
    <w:rsid w:val="00E42EDE"/>
    <w:rsid w:val="00E451A7"/>
    <w:rsid w:val="00E45516"/>
    <w:rsid w:val="00E45784"/>
    <w:rsid w:val="00E50900"/>
    <w:rsid w:val="00E53AF0"/>
    <w:rsid w:val="00E55962"/>
    <w:rsid w:val="00E55C44"/>
    <w:rsid w:val="00E56838"/>
    <w:rsid w:val="00E56A65"/>
    <w:rsid w:val="00E6188E"/>
    <w:rsid w:val="00E646AA"/>
    <w:rsid w:val="00E65204"/>
    <w:rsid w:val="00E65923"/>
    <w:rsid w:val="00E669E1"/>
    <w:rsid w:val="00E673F5"/>
    <w:rsid w:val="00E67A98"/>
    <w:rsid w:val="00E7000B"/>
    <w:rsid w:val="00E70A2D"/>
    <w:rsid w:val="00E76EC6"/>
    <w:rsid w:val="00E77C1A"/>
    <w:rsid w:val="00E8441D"/>
    <w:rsid w:val="00E85E0F"/>
    <w:rsid w:val="00E86FF2"/>
    <w:rsid w:val="00E90AF5"/>
    <w:rsid w:val="00E93B88"/>
    <w:rsid w:val="00EA28C4"/>
    <w:rsid w:val="00EA363D"/>
    <w:rsid w:val="00EB027C"/>
    <w:rsid w:val="00EB3AA0"/>
    <w:rsid w:val="00EB524D"/>
    <w:rsid w:val="00EB5F90"/>
    <w:rsid w:val="00EB7E4C"/>
    <w:rsid w:val="00EC01EA"/>
    <w:rsid w:val="00EC2E65"/>
    <w:rsid w:val="00ED0AE5"/>
    <w:rsid w:val="00ED2520"/>
    <w:rsid w:val="00ED3B06"/>
    <w:rsid w:val="00ED4412"/>
    <w:rsid w:val="00ED6930"/>
    <w:rsid w:val="00EE386D"/>
    <w:rsid w:val="00EE628B"/>
    <w:rsid w:val="00EE6635"/>
    <w:rsid w:val="00EF30BA"/>
    <w:rsid w:val="00EF3135"/>
    <w:rsid w:val="00EF64F2"/>
    <w:rsid w:val="00F0153A"/>
    <w:rsid w:val="00F043C1"/>
    <w:rsid w:val="00F05F2A"/>
    <w:rsid w:val="00F135CC"/>
    <w:rsid w:val="00F1738A"/>
    <w:rsid w:val="00F2202E"/>
    <w:rsid w:val="00F25A56"/>
    <w:rsid w:val="00F27B18"/>
    <w:rsid w:val="00F27CED"/>
    <w:rsid w:val="00F32C12"/>
    <w:rsid w:val="00F330A3"/>
    <w:rsid w:val="00F332A0"/>
    <w:rsid w:val="00F35E79"/>
    <w:rsid w:val="00F438BD"/>
    <w:rsid w:val="00F50CD7"/>
    <w:rsid w:val="00F519A0"/>
    <w:rsid w:val="00F62DAF"/>
    <w:rsid w:val="00F65BA0"/>
    <w:rsid w:val="00F70A05"/>
    <w:rsid w:val="00F717C7"/>
    <w:rsid w:val="00F72955"/>
    <w:rsid w:val="00F72F6E"/>
    <w:rsid w:val="00F77C46"/>
    <w:rsid w:val="00F84FC5"/>
    <w:rsid w:val="00F862D1"/>
    <w:rsid w:val="00F90D89"/>
    <w:rsid w:val="00F956AB"/>
    <w:rsid w:val="00F97907"/>
    <w:rsid w:val="00FA0BB9"/>
    <w:rsid w:val="00FA6932"/>
    <w:rsid w:val="00FB3F84"/>
    <w:rsid w:val="00FB4926"/>
    <w:rsid w:val="00FC2D34"/>
    <w:rsid w:val="00FD0F3D"/>
    <w:rsid w:val="00FD1D3C"/>
    <w:rsid w:val="00FD428A"/>
    <w:rsid w:val="00FD6246"/>
    <w:rsid w:val="00FE44FD"/>
    <w:rsid w:val="00FE677C"/>
    <w:rsid w:val="00FE6937"/>
    <w:rsid w:val="00FF0398"/>
    <w:rsid w:val="00FF1E6D"/>
    <w:rsid w:val="00FF5CAB"/>
    <w:rsid w:val="011C1128"/>
    <w:rsid w:val="02D70915"/>
    <w:rsid w:val="03327FC8"/>
    <w:rsid w:val="034053AF"/>
    <w:rsid w:val="035346A1"/>
    <w:rsid w:val="03EE78DA"/>
    <w:rsid w:val="046916D6"/>
    <w:rsid w:val="049E257F"/>
    <w:rsid w:val="050D65F7"/>
    <w:rsid w:val="05190420"/>
    <w:rsid w:val="0520397C"/>
    <w:rsid w:val="056B77C2"/>
    <w:rsid w:val="0580326D"/>
    <w:rsid w:val="06786212"/>
    <w:rsid w:val="068C398F"/>
    <w:rsid w:val="07131734"/>
    <w:rsid w:val="080247E1"/>
    <w:rsid w:val="08B7414D"/>
    <w:rsid w:val="097D6083"/>
    <w:rsid w:val="09E14E90"/>
    <w:rsid w:val="0A7535DE"/>
    <w:rsid w:val="0A861E22"/>
    <w:rsid w:val="0AEB73DB"/>
    <w:rsid w:val="0B9463ED"/>
    <w:rsid w:val="0B9977BD"/>
    <w:rsid w:val="0C427085"/>
    <w:rsid w:val="0D47620F"/>
    <w:rsid w:val="0D817C05"/>
    <w:rsid w:val="0D98391F"/>
    <w:rsid w:val="0E563838"/>
    <w:rsid w:val="0E70477B"/>
    <w:rsid w:val="0EB93E52"/>
    <w:rsid w:val="0F261786"/>
    <w:rsid w:val="0F4075C9"/>
    <w:rsid w:val="102D4FF8"/>
    <w:rsid w:val="10344080"/>
    <w:rsid w:val="10A2355E"/>
    <w:rsid w:val="11673180"/>
    <w:rsid w:val="11B4578A"/>
    <w:rsid w:val="11FF6F65"/>
    <w:rsid w:val="122A7A89"/>
    <w:rsid w:val="122C1851"/>
    <w:rsid w:val="1237633D"/>
    <w:rsid w:val="12385DCC"/>
    <w:rsid w:val="12CD02BD"/>
    <w:rsid w:val="12D25293"/>
    <w:rsid w:val="13111E12"/>
    <w:rsid w:val="137113B5"/>
    <w:rsid w:val="13A40A55"/>
    <w:rsid w:val="13F841E3"/>
    <w:rsid w:val="14624CA5"/>
    <w:rsid w:val="14856FE8"/>
    <w:rsid w:val="14C95B08"/>
    <w:rsid w:val="162F2FE5"/>
    <w:rsid w:val="164F254D"/>
    <w:rsid w:val="17E7556F"/>
    <w:rsid w:val="180564BC"/>
    <w:rsid w:val="18A73C74"/>
    <w:rsid w:val="18DE092A"/>
    <w:rsid w:val="193261D5"/>
    <w:rsid w:val="195852D6"/>
    <w:rsid w:val="198F37D3"/>
    <w:rsid w:val="19EA0D3B"/>
    <w:rsid w:val="1A381889"/>
    <w:rsid w:val="1AE4125E"/>
    <w:rsid w:val="1B7E3F4C"/>
    <w:rsid w:val="1B967D96"/>
    <w:rsid w:val="1BED0AD9"/>
    <w:rsid w:val="1D550858"/>
    <w:rsid w:val="1DFC57AB"/>
    <w:rsid w:val="1E540816"/>
    <w:rsid w:val="1E594193"/>
    <w:rsid w:val="1E8477BF"/>
    <w:rsid w:val="1F51561C"/>
    <w:rsid w:val="1FD75D28"/>
    <w:rsid w:val="20020C6B"/>
    <w:rsid w:val="20780AD1"/>
    <w:rsid w:val="20815FBA"/>
    <w:rsid w:val="21D450CA"/>
    <w:rsid w:val="21FF4DB8"/>
    <w:rsid w:val="233B23BD"/>
    <w:rsid w:val="23C44815"/>
    <w:rsid w:val="23EC76CE"/>
    <w:rsid w:val="24522BB8"/>
    <w:rsid w:val="253A4C90"/>
    <w:rsid w:val="253D209B"/>
    <w:rsid w:val="25993C0F"/>
    <w:rsid w:val="25EA17CE"/>
    <w:rsid w:val="26094EFB"/>
    <w:rsid w:val="2673078F"/>
    <w:rsid w:val="26993A32"/>
    <w:rsid w:val="26B414D0"/>
    <w:rsid w:val="276B40A9"/>
    <w:rsid w:val="27DD2A91"/>
    <w:rsid w:val="2827580C"/>
    <w:rsid w:val="28463A4A"/>
    <w:rsid w:val="28867776"/>
    <w:rsid w:val="293740AC"/>
    <w:rsid w:val="29FD44FF"/>
    <w:rsid w:val="2A127BCC"/>
    <w:rsid w:val="2A871436"/>
    <w:rsid w:val="2AA06D4E"/>
    <w:rsid w:val="2AD645C4"/>
    <w:rsid w:val="2ADE1F94"/>
    <w:rsid w:val="2AED4E63"/>
    <w:rsid w:val="2B20303A"/>
    <w:rsid w:val="2BE21D39"/>
    <w:rsid w:val="2C2470CC"/>
    <w:rsid w:val="2CDF7FCA"/>
    <w:rsid w:val="2D424A1C"/>
    <w:rsid w:val="2D604745"/>
    <w:rsid w:val="2D973669"/>
    <w:rsid w:val="2DB612D0"/>
    <w:rsid w:val="2DDB5970"/>
    <w:rsid w:val="2E747761"/>
    <w:rsid w:val="2F8F01EF"/>
    <w:rsid w:val="30126A06"/>
    <w:rsid w:val="305971B9"/>
    <w:rsid w:val="30644B91"/>
    <w:rsid w:val="30F43B60"/>
    <w:rsid w:val="31A11B07"/>
    <w:rsid w:val="31A4743B"/>
    <w:rsid w:val="31C22238"/>
    <w:rsid w:val="31C301FA"/>
    <w:rsid w:val="322A56F1"/>
    <w:rsid w:val="329B62A1"/>
    <w:rsid w:val="32B207EC"/>
    <w:rsid w:val="32B239A9"/>
    <w:rsid w:val="32E1748A"/>
    <w:rsid w:val="334678A7"/>
    <w:rsid w:val="336E1A7D"/>
    <w:rsid w:val="33CB25E9"/>
    <w:rsid w:val="33E6227C"/>
    <w:rsid w:val="341E42C0"/>
    <w:rsid w:val="345B4D6B"/>
    <w:rsid w:val="346129C0"/>
    <w:rsid w:val="353D68E4"/>
    <w:rsid w:val="35BF4B54"/>
    <w:rsid w:val="35D438C2"/>
    <w:rsid w:val="35FB18B5"/>
    <w:rsid w:val="363864B8"/>
    <w:rsid w:val="366E3D63"/>
    <w:rsid w:val="36941779"/>
    <w:rsid w:val="36DD7B64"/>
    <w:rsid w:val="36F64A1A"/>
    <w:rsid w:val="383127F7"/>
    <w:rsid w:val="395B7D94"/>
    <w:rsid w:val="39B521F4"/>
    <w:rsid w:val="3A0C1B9F"/>
    <w:rsid w:val="3A135C74"/>
    <w:rsid w:val="3A307974"/>
    <w:rsid w:val="3A5D06D9"/>
    <w:rsid w:val="3C4B40D8"/>
    <w:rsid w:val="3C7A1722"/>
    <w:rsid w:val="3CB52AF5"/>
    <w:rsid w:val="3D1269BC"/>
    <w:rsid w:val="3EDA0E53"/>
    <w:rsid w:val="3F2472FE"/>
    <w:rsid w:val="3F6D7506"/>
    <w:rsid w:val="3F7D5228"/>
    <w:rsid w:val="3FE10589"/>
    <w:rsid w:val="3FF24136"/>
    <w:rsid w:val="3FF76838"/>
    <w:rsid w:val="40104578"/>
    <w:rsid w:val="40C415D1"/>
    <w:rsid w:val="40D93A18"/>
    <w:rsid w:val="41786C78"/>
    <w:rsid w:val="41E75979"/>
    <w:rsid w:val="41FA3AEB"/>
    <w:rsid w:val="42210CE7"/>
    <w:rsid w:val="429F402B"/>
    <w:rsid w:val="430A181F"/>
    <w:rsid w:val="43165E81"/>
    <w:rsid w:val="432D6071"/>
    <w:rsid w:val="437C385D"/>
    <w:rsid w:val="43C57353"/>
    <w:rsid w:val="43E714EA"/>
    <w:rsid w:val="44761132"/>
    <w:rsid w:val="449F0313"/>
    <w:rsid w:val="46FB2E9F"/>
    <w:rsid w:val="4741570E"/>
    <w:rsid w:val="47A0687C"/>
    <w:rsid w:val="483A34A7"/>
    <w:rsid w:val="48C61C9C"/>
    <w:rsid w:val="493C0552"/>
    <w:rsid w:val="4A834EB5"/>
    <w:rsid w:val="4AA20B5D"/>
    <w:rsid w:val="4AE50A49"/>
    <w:rsid w:val="4B000335"/>
    <w:rsid w:val="4B2161F4"/>
    <w:rsid w:val="4B7715B6"/>
    <w:rsid w:val="4B77747C"/>
    <w:rsid w:val="4C0D2ACD"/>
    <w:rsid w:val="4C1B65B2"/>
    <w:rsid w:val="4CF00C74"/>
    <w:rsid w:val="4D0959DD"/>
    <w:rsid w:val="4DE13C01"/>
    <w:rsid w:val="4DEC74BF"/>
    <w:rsid w:val="4E997CE3"/>
    <w:rsid w:val="4F744EC7"/>
    <w:rsid w:val="500A1AD8"/>
    <w:rsid w:val="50181969"/>
    <w:rsid w:val="502707BD"/>
    <w:rsid w:val="50C91D93"/>
    <w:rsid w:val="50E05F42"/>
    <w:rsid w:val="517E74C2"/>
    <w:rsid w:val="51857EC5"/>
    <w:rsid w:val="51F16957"/>
    <w:rsid w:val="524053CE"/>
    <w:rsid w:val="52654126"/>
    <w:rsid w:val="526823C8"/>
    <w:rsid w:val="527831B2"/>
    <w:rsid w:val="53A25398"/>
    <w:rsid w:val="53AE0527"/>
    <w:rsid w:val="546136CF"/>
    <w:rsid w:val="54BF6ECB"/>
    <w:rsid w:val="54FD2D3E"/>
    <w:rsid w:val="55731036"/>
    <w:rsid w:val="570D5F54"/>
    <w:rsid w:val="573429E6"/>
    <w:rsid w:val="57364FDE"/>
    <w:rsid w:val="57651478"/>
    <w:rsid w:val="576553F8"/>
    <w:rsid w:val="57AE3A18"/>
    <w:rsid w:val="57CB39AC"/>
    <w:rsid w:val="57D2237C"/>
    <w:rsid w:val="57DF336A"/>
    <w:rsid w:val="58255BAC"/>
    <w:rsid w:val="583A5523"/>
    <w:rsid w:val="5874013F"/>
    <w:rsid w:val="58873140"/>
    <w:rsid w:val="588B5DB4"/>
    <w:rsid w:val="591156F9"/>
    <w:rsid w:val="591A74FF"/>
    <w:rsid w:val="594661BA"/>
    <w:rsid w:val="59DB6C9B"/>
    <w:rsid w:val="59EE012F"/>
    <w:rsid w:val="5A2938E1"/>
    <w:rsid w:val="5A8D0F6E"/>
    <w:rsid w:val="5B3B189A"/>
    <w:rsid w:val="5B793214"/>
    <w:rsid w:val="5B9E4DF1"/>
    <w:rsid w:val="5BA826AA"/>
    <w:rsid w:val="5BD210A9"/>
    <w:rsid w:val="5BDA0A8B"/>
    <w:rsid w:val="5C1D3C05"/>
    <w:rsid w:val="5C2E7716"/>
    <w:rsid w:val="5C586ED3"/>
    <w:rsid w:val="5C632E0E"/>
    <w:rsid w:val="5D1404B5"/>
    <w:rsid w:val="5D44464C"/>
    <w:rsid w:val="5D822F64"/>
    <w:rsid w:val="5DBE2C10"/>
    <w:rsid w:val="60000D6A"/>
    <w:rsid w:val="60713679"/>
    <w:rsid w:val="60916735"/>
    <w:rsid w:val="61580715"/>
    <w:rsid w:val="61BD395C"/>
    <w:rsid w:val="61FA42F3"/>
    <w:rsid w:val="62031AD9"/>
    <w:rsid w:val="62083838"/>
    <w:rsid w:val="624B4F08"/>
    <w:rsid w:val="633450E8"/>
    <w:rsid w:val="637D3365"/>
    <w:rsid w:val="63FE6D55"/>
    <w:rsid w:val="640B2E77"/>
    <w:rsid w:val="64CD56C1"/>
    <w:rsid w:val="650F4C8B"/>
    <w:rsid w:val="65425D5C"/>
    <w:rsid w:val="666844FA"/>
    <w:rsid w:val="6675310F"/>
    <w:rsid w:val="671B3D9D"/>
    <w:rsid w:val="67CE3ED3"/>
    <w:rsid w:val="67ED1307"/>
    <w:rsid w:val="68A117AD"/>
    <w:rsid w:val="68BD466F"/>
    <w:rsid w:val="68FD1169"/>
    <w:rsid w:val="697414BE"/>
    <w:rsid w:val="698007C0"/>
    <w:rsid w:val="69B3316D"/>
    <w:rsid w:val="69CC4E3A"/>
    <w:rsid w:val="69E322C9"/>
    <w:rsid w:val="69F745C9"/>
    <w:rsid w:val="6A11759A"/>
    <w:rsid w:val="6A3546EF"/>
    <w:rsid w:val="6AD335BC"/>
    <w:rsid w:val="6B56105D"/>
    <w:rsid w:val="6B7E4FD1"/>
    <w:rsid w:val="6B8E4AB9"/>
    <w:rsid w:val="6B9B002D"/>
    <w:rsid w:val="6C003824"/>
    <w:rsid w:val="6C18293C"/>
    <w:rsid w:val="6E085887"/>
    <w:rsid w:val="6E166A3D"/>
    <w:rsid w:val="6E691495"/>
    <w:rsid w:val="6E7357DF"/>
    <w:rsid w:val="6E85571E"/>
    <w:rsid w:val="6E9D7C91"/>
    <w:rsid w:val="6EDF7720"/>
    <w:rsid w:val="6F236E0A"/>
    <w:rsid w:val="70296F6C"/>
    <w:rsid w:val="70544B5D"/>
    <w:rsid w:val="707F5961"/>
    <w:rsid w:val="714260DD"/>
    <w:rsid w:val="71E53C48"/>
    <w:rsid w:val="723F5896"/>
    <w:rsid w:val="72C762A1"/>
    <w:rsid w:val="72D6084A"/>
    <w:rsid w:val="72E1638E"/>
    <w:rsid w:val="72F24F77"/>
    <w:rsid w:val="72F34117"/>
    <w:rsid w:val="72F93D09"/>
    <w:rsid w:val="72FC3DA1"/>
    <w:rsid w:val="733D0A2C"/>
    <w:rsid w:val="73B02001"/>
    <w:rsid w:val="741E2752"/>
    <w:rsid w:val="7499627D"/>
    <w:rsid w:val="74C01394"/>
    <w:rsid w:val="74EC21EC"/>
    <w:rsid w:val="755A49D4"/>
    <w:rsid w:val="76553349"/>
    <w:rsid w:val="76B0626D"/>
    <w:rsid w:val="76ED47CF"/>
    <w:rsid w:val="77266F35"/>
    <w:rsid w:val="775F561E"/>
    <w:rsid w:val="78010F6F"/>
    <w:rsid w:val="78BF5040"/>
    <w:rsid w:val="78C02C5F"/>
    <w:rsid w:val="790F38A2"/>
    <w:rsid w:val="79490B5D"/>
    <w:rsid w:val="79811191"/>
    <w:rsid w:val="7A3613CA"/>
    <w:rsid w:val="7B003B56"/>
    <w:rsid w:val="7B044EA1"/>
    <w:rsid w:val="7B62654C"/>
    <w:rsid w:val="7C6B04FF"/>
    <w:rsid w:val="7C8C7A07"/>
    <w:rsid w:val="7CDB7259"/>
    <w:rsid w:val="7CEA49FF"/>
    <w:rsid w:val="7D235B54"/>
    <w:rsid w:val="7D483D73"/>
    <w:rsid w:val="7E514048"/>
    <w:rsid w:val="7E85193F"/>
    <w:rsid w:val="7E8C28BB"/>
    <w:rsid w:val="7EBD1A57"/>
    <w:rsid w:val="7EE05E88"/>
    <w:rsid w:val="7F67761B"/>
    <w:rsid w:val="7FB534D6"/>
    <w:rsid w:val="7FDE03A2"/>
    <w:rsid w:val="7FF2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8048E9"/>
  <w15:docId w15:val="{A6119CD9-229E-4204-B29F-E3B8A48E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semiHidden="1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locked="1" w:uiPriority="0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link w:val="10"/>
    <w:uiPriority w:val="99"/>
    <w:qFormat/>
    <w:pPr>
      <w:spacing w:before="340" w:after="330" w:line="578" w:lineRule="auto"/>
      <w:outlineLvl w:val="0"/>
    </w:pPr>
    <w:rPr>
      <w:b w:val="0"/>
      <w:bCs w:val="0"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locked/>
    <w:pPr>
      <w:spacing w:after="120"/>
    </w:p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a4">
    <w:name w:val="Date"/>
    <w:basedOn w:val="a"/>
    <w:next w:val="a"/>
    <w:link w:val="a5"/>
    <w:uiPriority w:val="99"/>
    <w:semiHidden/>
    <w:qFormat/>
    <w:pPr>
      <w:ind w:leftChars="2500" w:left="100"/>
    </w:pPr>
    <w:rPr>
      <w:kern w:val="0"/>
      <w:sz w:val="24"/>
    </w:rPr>
  </w:style>
  <w:style w:type="paragraph" w:styleId="a6">
    <w:name w:val="Balloon Text"/>
    <w:basedOn w:val="a"/>
    <w:link w:val="a7"/>
    <w:uiPriority w:val="99"/>
    <w:semiHidden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paragraph" w:styleId="aa">
    <w:name w:val="header"/>
    <w:basedOn w:val="a"/>
    <w:link w:val="ab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/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styleId="ac">
    <w:name w:val="Normal (Web)"/>
    <w:basedOn w:val="a"/>
    <w:uiPriority w:val="99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11"/>
    <w:uiPriority w:val="99"/>
    <w:qFormat/>
    <w:pPr>
      <w:spacing w:before="240" w:after="60"/>
      <w:jc w:val="center"/>
      <w:outlineLvl w:val="0"/>
    </w:pPr>
    <w:rPr>
      <w:rFonts w:ascii="Cambria" w:hAnsi="Cambria"/>
      <w:b/>
      <w:kern w:val="0"/>
      <w:sz w:val="32"/>
      <w:szCs w:val="20"/>
    </w:rPr>
  </w:style>
  <w:style w:type="table" w:styleId="ae">
    <w:name w:val="Table Grid"/>
    <w:basedOn w:val="a2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uiPriority w:val="99"/>
    <w:qFormat/>
    <w:rPr>
      <w:rFonts w:cs="Times New Roman"/>
    </w:rPr>
  </w:style>
  <w:style w:type="character" w:styleId="af0">
    <w:name w:val="Hyperlink"/>
    <w:basedOn w:val="a1"/>
    <w:uiPriority w:val="99"/>
    <w:qFormat/>
    <w:rPr>
      <w:rFonts w:cs="Times New Roman"/>
      <w:color w:val="0563C1"/>
      <w:u w:val="single"/>
    </w:rPr>
  </w:style>
  <w:style w:type="character" w:customStyle="1" w:styleId="10">
    <w:name w:val="标题 1 字符"/>
    <w:basedOn w:val="a1"/>
    <w:link w:val="1"/>
    <w:uiPriority w:val="99"/>
    <w:qFormat/>
    <w:locked/>
    <w:rPr>
      <w:rFonts w:ascii="等线 Light" w:eastAsia="等线 Light" w:hAnsi="等线 Light" w:cs="Times New Roman"/>
      <w:kern w:val="44"/>
      <w:sz w:val="44"/>
    </w:rPr>
  </w:style>
  <w:style w:type="character" w:customStyle="1" w:styleId="20">
    <w:name w:val="标题 2 字符"/>
    <w:basedOn w:val="a1"/>
    <w:link w:val="2"/>
    <w:uiPriority w:val="99"/>
    <w:semiHidden/>
    <w:qFormat/>
    <w:locked/>
    <w:rPr>
      <w:rFonts w:ascii="等线 Light" w:eastAsia="等线 Light" w:hAnsi="等线 Light" w:cs="Times New Roman"/>
      <w:b/>
      <w:sz w:val="32"/>
    </w:rPr>
  </w:style>
  <w:style w:type="character" w:customStyle="1" w:styleId="30">
    <w:name w:val="标题 3 字符"/>
    <w:basedOn w:val="a1"/>
    <w:link w:val="3"/>
    <w:uiPriority w:val="99"/>
    <w:qFormat/>
    <w:locked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a5">
    <w:name w:val="日期 字符"/>
    <w:basedOn w:val="a1"/>
    <w:link w:val="a4"/>
    <w:uiPriority w:val="99"/>
    <w:semiHidden/>
    <w:qFormat/>
    <w:locked/>
    <w:rPr>
      <w:rFonts w:ascii="Times New Roman" w:eastAsia="宋体" w:hAnsi="Times New Roman" w:cs="Times New Roman"/>
      <w:sz w:val="24"/>
    </w:rPr>
  </w:style>
  <w:style w:type="character" w:customStyle="1" w:styleId="a7">
    <w:name w:val="批注框文本 字符"/>
    <w:basedOn w:val="a1"/>
    <w:link w:val="a6"/>
    <w:uiPriority w:val="99"/>
    <w:semiHidden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locked/>
    <w:rPr>
      <w:rFonts w:cs="Times New Roman"/>
      <w:sz w:val="18"/>
    </w:rPr>
  </w:style>
  <w:style w:type="character" w:customStyle="1" w:styleId="ab">
    <w:name w:val="页眉 字符"/>
    <w:basedOn w:val="a1"/>
    <w:link w:val="aa"/>
    <w:uiPriority w:val="99"/>
    <w:qFormat/>
    <w:locked/>
    <w:rPr>
      <w:rFonts w:cs="Times New Roman"/>
      <w:sz w:val="18"/>
    </w:rPr>
  </w:style>
  <w:style w:type="character" w:customStyle="1" w:styleId="11">
    <w:name w:val="标题 字符1"/>
    <w:basedOn w:val="a1"/>
    <w:link w:val="ad"/>
    <w:uiPriority w:val="99"/>
    <w:qFormat/>
    <w:locked/>
    <w:rPr>
      <w:rFonts w:ascii="Cambria" w:eastAsia="宋体" w:hAnsi="Cambria" w:cs="Times New Roman"/>
      <w:b/>
      <w:sz w:val="32"/>
    </w:rPr>
  </w:style>
  <w:style w:type="character" w:customStyle="1" w:styleId="af1">
    <w:name w:val="标题 字符"/>
    <w:uiPriority w:val="99"/>
    <w:qFormat/>
    <w:rPr>
      <w:rFonts w:ascii="等线 Light" w:eastAsia="等线 Light" w:hAnsi="等线 Light"/>
      <w:b/>
      <w:sz w:val="32"/>
    </w:rPr>
  </w:style>
  <w:style w:type="paragraph" w:customStyle="1" w:styleId="TOCHeading1">
    <w:name w:val="TOC Heading1"/>
    <w:basedOn w:val="1"/>
    <w:next w:val="a"/>
    <w:uiPriority w:val="99"/>
    <w:qFormat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b/>
      <w:bCs/>
      <w:color w:val="365F91"/>
      <w:kern w:val="0"/>
      <w:sz w:val="28"/>
      <w:szCs w:val="28"/>
    </w:rPr>
  </w:style>
  <w:style w:type="paragraph" w:customStyle="1" w:styleId="af2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FA56B4-412B-486C-9035-280CB1F1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3827</Words>
  <Characters>4746</Characters>
  <Application>Microsoft Office Word</Application>
  <DocSecurity>0</DocSecurity>
  <Lines>474</Lines>
  <Paragraphs>612</Paragraphs>
  <ScaleCrop>false</ScaleCrop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姚晨之</cp:lastModifiedBy>
  <cp:revision>2</cp:revision>
  <cp:lastPrinted>2019-09-26T07:29:00Z</cp:lastPrinted>
  <dcterms:created xsi:type="dcterms:W3CDTF">2026-09-01T02:40:00Z</dcterms:created>
  <dcterms:modified xsi:type="dcterms:W3CDTF">2026-09-01T02:40:00Z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91E6E72E30DE4913983B7B14115583A5</vt:lpwstr>
  </property>
</Properties>
</file>